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07" w:rsidRDefault="009B1448">
      <w:pPr>
        <w:spacing w:after="0"/>
        <w:jc w:val="center"/>
      </w:pPr>
      <w:r>
        <w:rPr>
          <w:rFonts w:ascii="Times New Roman" w:hAnsi="Times New Roman"/>
          <w:b/>
          <w:spacing w:val="-7"/>
          <w:sz w:val="24"/>
          <w:szCs w:val="24"/>
        </w:rPr>
        <w:t xml:space="preserve">PENGARUH FUMIGASI PHOSPINE (PH3) DALAM MENGENDALIKAN </w:t>
      </w:r>
      <w:r>
        <w:rPr>
          <w:rFonts w:ascii="Times New Roman" w:hAnsi="Times New Roman"/>
          <w:b/>
          <w:i/>
          <w:spacing w:val="-7"/>
          <w:sz w:val="24"/>
          <w:szCs w:val="24"/>
        </w:rPr>
        <w:t xml:space="preserve">Tribolium </w:t>
      </w:r>
      <w:bookmarkStart w:id="0" w:name="_GoBack"/>
      <w:bookmarkEnd w:id="0"/>
      <w:r>
        <w:rPr>
          <w:rFonts w:ascii="Times New Roman" w:hAnsi="Times New Roman"/>
          <w:b/>
          <w:i/>
          <w:spacing w:val="-7"/>
          <w:sz w:val="24"/>
          <w:szCs w:val="24"/>
        </w:rPr>
        <w:t xml:space="preserve">castaneum </w:t>
      </w:r>
      <w:r>
        <w:rPr>
          <w:rFonts w:ascii="Times New Roman" w:hAnsi="Times New Roman"/>
          <w:b/>
          <w:spacing w:val="-7"/>
          <w:sz w:val="24"/>
          <w:szCs w:val="24"/>
        </w:rPr>
        <w:t>(Herbst) PADA TEPUNG GANDUM</w:t>
      </w:r>
    </w:p>
    <w:p w:rsidR="000D6807" w:rsidRDefault="000D6807">
      <w:pPr>
        <w:spacing w:after="0"/>
        <w:jc w:val="center"/>
        <w:rPr>
          <w:rFonts w:ascii="Times New Roman" w:hAnsi="Times New Roman"/>
          <w:b/>
          <w:spacing w:val="-7"/>
          <w:sz w:val="24"/>
          <w:szCs w:val="24"/>
        </w:rPr>
      </w:pPr>
    </w:p>
    <w:p w:rsidR="000D6807" w:rsidRDefault="009B1448">
      <w:pPr>
        <w:spacing w:after="0"/>
        <w:jc w:val="center"/>
      </w:pPr>
      <w:r>
        <w:rPr>
          <w:rFonts w:ascii="Times New Roman" w:hAnsi="Times New Roman"/>
          <w:b/>
          <w:sz w:val="24"/>
          <w:szCs w:val="24"/>
        </w:rPr>
        <w:t xml:space="preserve">The Effect of Phospine (PH3) Fumigation in Controlling </w:t>
      </w:r>
      <w:r>
        <w:rPr>
          <w:rFonts w:ascii="Times New Roman" w:hAnsi="Times New Roman"/>
          <w:b/>
          <w:i/>
          <w:sz w:val="24"/>
          <w:szCs w:val="24"/>
        </w:rPr>
        <w:t xml:space="preserve">Tribolium castaneum </w:t>
      </w:r>
      <w:r>
        <w:rPr>
          <w:rFonts w:ascii="Times New Roman" w:hAnsi="Times New Roman"/>
          <w:b/>
          <w:sz w:val="24"/>
          <w:szCs w:val="24"/>
        </w:rPr>
        <w:t>(Herbst) in Wheat Flour</w:t>
      </w:r>
    </w:p>
    <w:p w:rsidR="000D6807" w:rsidRDefault="000D6807">
      <w:pPr>
        <w:spacing w:after="0"/>
        <w:jc w:val="center"/>
        <w:rPr>
          <w:rFonts w:ascii="Times New Roman" w:hAnsi="Times New Roman"/>
          <w:b/>
          <w:sz w:val="24"/>
          <w:szCs w:val="24"/>
        </w:rPr>
      </w:pPr>
    </w:p>
    <w:p w:rsidR="000D6807" w:rsidRDefault="009B1448">
      <w:pPr>
        <w:spacing w:after="0"/>
        <w:jc w:val="center"/>
      </w:pPr>
      <w:r>
        <w:rPr>
          <w:rFonts w:ascii="Times New Roman" w:hAnsi="Times New Roman"/>
          <w:b/>
          <w:bCs/>
          <w:sz w:val="24"/>
          <w:szCs w:val="24"/>
        </w:rPr>
        <w:t>Ratna Sekar Arum dan Saifuddin Hasjim</w:t>
      </w:r>
    </w:p>
    <w:p w:rsidR="000D6807" w:rsidRDefault="009B1448">
      <w:pPr>
        <w:spacing w:after="0" w:line="244" w:lineRule="auto"/>
        <w:jc w:val="center"/>
        <w:rPr>
          <w:rFonts w:ascii="Times New Roman" w:hAnsi="Times New Roman"/>
          <w:sz w:val="24"/>
          <w:szCs w:val="24"/>
        </w:rPr>
      </w:pPr>
      <w:r>
        <w:rPr>
          <w:rFonts w:ascii="Times New Roman" w:hAnsi="Times New Roman"/>
          <w:sz w:val="24"/>
          <w:szCs w:val="24"/>
        </w:rPr>
        <w:t>Program Studi Agroteknologi, Fakultas Pertanian, Universitas Jember, Jl.Kalimantan 77A Jember. 68121</w:t>
      </w:r>
    </w:p>
    <w:p w:rsidR="000D6807" w:rsidRDefault="009B1448">
      <w:pPr>
        <w:spacing w:after="0" w:line="244" w:lineRule="auto"/>
        <w:jc w:val="center"/>
        <w:rPr>
          <w:rFonts w:ascii="Times New Roman" w:hAnsi="Times New Roman"/>
          <w:sz w:val="24"/>
          <w:szCs w:val="24"/>
        </w:rPr>
      </w:pPr>
      <w:r>
        <w:rPr>
          <w:rFonts w:ascii="Times New Roman" w:hAnsi="Times New Roman"/>
          <w:sz w:val="24"/>
          <w:szCs w:val="24"/>
        </w:rPr>
        <w:t>Program Studi Proteksi Tanaman, Fakultas Pertanian, Universitas Jember,Jl. Kalimantan 37 Jember. 68121</w:t>
      </w:r>
    </w:p>
    <w:p w:rsidR="000D6807" w:rsidRDefault="00571308">
      <w:pPr>
        <w:spacing w:line="228" w:lineRule="auto"/>
        <w:jc w:val="center"/>
      </w:pPr>
      <w:hyperlink r:id="rId8" w:history="1">
        <w:r w:rsidR="009B1448">
          <w:rPr>
            <w:rStyle w:val="Hyperlink"/>
            <w:rFonts w:ascii="Times New Roman" w:hAnsi="Times New Roman"/>
            <w:sz w:val="24"/>
            <w:szCs w:val="24"/>
          </w:rPr>
          <w:t>sekararum400@yahoo.com</w:t>
        </w:r>
      </w:hyperlink>
    </w:p>
    <w:p w:rsidR="000D6807" w:rsidRDefault="000D6807">
      <w:pPr>
        <w:spacing w:after="0" w:line="228" w:lineRule="auto"/>
        <w:jc w:val="center"/>
        <w:rPr>
          <w:rFonts w:ascii="Times New Roman" w:hAnsi="Times New Roman"/>
          <w:color w:val="000000"/>
          <w:sz w:val="24"/>
          <w:szCs w:val="24"/>
        </w:rPr>
      </w:pPr>
    </w:p>
    <w:p w:rsidR="000D6807" w:rsidRDefault="009B1448">
      <w:pPr>
        <w:spacing w:after="0"/>
        <w:jc w:val="center"/>
      </w:pPr>
      <w:r>
        <w:rPr>
          <w:rFonts w:ascii="Times New Roman" w:hAnsi="Times New Roman"/>
          <w:b/>
          <w:bCs/>
          <w:sz w:val="24"/>
          <w:szCs w:val="24"/>
        </w:rPr>
        <w:t>ABSTRAK</w:t>
      </w:r>
    </w:p>
    <w:p w:rsidR="000D6807" w:rsidRDefault="009B1448">
      <w:pPr>
        <w:spacing w:after="300" w:line="240" w:lineRule="auto"/>
        <w:ind w:firstLine="720"/>
        <w:jc w:val="both"/>
      </w:pPr>
      <w:r>
        <w:rPr>
          <w:rFonts w:ascii="Times New Roman" w:hAnsi="Times New Roman"/>
          <w:bCs/>
          <w:i/>
          <w:sz w:val="24"/>
          <w:szCs w:val="24"/>
        </w:rPr>
        <w:t xml:space="preserve">Tribolium castaneum </w:t>
      </w:r>
      <w:r>
        <w:rPr>
          <w:rFonts w:ascii="Times New Roman" w:hAnsi="Times New Roman"/>
          <w:bCs/>
          <w:sz w:val="24"/>
          <w:szCs w:val="24"/>
        </w:rPr>
        <w:t xml:space="preserve">Herbst merupakan hama primer pada komoditas tepung dan menjadi hama sekunder pada komoditas beras atau serelia lainnya. Infestasi dari </w:t>
      </w:r>
      <w:r>
        <w:rPr>
          <w:rFonts w:ascii="Times New Roman" w:hAnsi="Times New Roman"/>
          <w:bCs/>
          <w:i/>
          <w:sz w:val="24"/>
          <w:szCs w:val="24"/>
        </w:rPr>
        <w:t>T. castaneum</w:t>
      </w:r>
      <w:r>
        <w:rPr>
          <w:rFonts w:ascii="Times New Roman" w:hAnsi="Times New Roman"/>
          <w:bCs/>
          <w:sz w:val="24"/>
          <w:szCs w:val="24"/>
        </w:rPr>
        <w:t xml:space="preserve"> berkisar 34-40%. Kerusakan yang ditimbulkan dari serangan hama ini berupa penurunan kualitas dan kuantitas tepung, ditandai dengan berubahnya warna dan bau tidak sedap sehingga tepung tidak layak untuk dikonsumsi. Fumigasi menggunakan bahan aktif Phospine (PH3) merupakan salah satu tindakan perlakuan untuk mengendalikan serangan</w:t>
      </w:r>
      <w:r>
        <w:rPr>
          <w:rFonts w:ascii="Times New Roman" w:hAnsi="Times New Roman"/>
          <w:bCs/>
          <w:i/>
          <w:sz w:val="24"/>
          <w:szCs w:val="24"/>
        </w:rPr>
        <w:t xml:space="preserve"> T. castaneum </w:t>
      </w:r>
      <w:r>
        <w:rPr>
          <w:rFonts w:ascii="Times New Roman" w:hAnsi="Times New Roman"/>
          <w:bCs/>
          <w:sz w:val="24"/>
          <w:szCs w:val="24"/>
        </w:rPr>
        <w:t xml:space="preserve">pada komoditi tepung gandum. Penelitian ini bertujuan untuk mengetahui persentase mortalitas serta kemampuan serangga </w:t>
      </w:r>
      <w:r>
        <w:rPr>
          <w:rFonts w:ascii="Times New Roman" w:hAnsi="Times New Roman"/>
          <w:bCs/>
          <w:i/>
          <w:sz w:val="24"/>
          <w:szCs w:val="24"/>
        </w:rPr>
        <w:t>T. castaneum</w:t>
      </w:r>
      <w:r>
        <w:rPr>
          <w:rFonts w:ascii="Times New Roman" w:hAnsi="Times New Roman"/>
          <w:bCs/>
          <w:sz w:val="24"/>
          <w:szCs w:val="24"/>
        </w:rPr>
        <w:t xml:space="preserve"> dan mengetahui persentase pupa menjadi imago terhadap perlakuan berbagai dosis dan lama fumigasi. Rancangan percobaan yang digunakan dalam penelitian ini adalah Rancangan Acak Lengkap (RAL) dengan 12 perlakuan, 1 kontrol dan 3 ulangan sehingga total terdapat 37 unit percobaan. Variabel yang diamati meliputi mortalitas hama dan jumlah pupa yang menjadi imago. Hasil dari variabel yang diamati dianalisis dnegan menggunakan Sidik Ragam dan menggunakan uji lanjutan DMRT dengan taraf 5% untuk melihat perlakuan mana yang memberikan efek berbeda. Hasil dari penelitian ini menunjukkan bahwa penggunaan fumigasi Phospine efektif untuk mengendalikan hama gudang </w:t>
      </w:r>
      <w:r>
        <w:rPr>
          <w:rFonts w:ascii="Times New Roman" w:hAnsi="Times New Roman"/>
          <w:bCs/>
          <w:i/>
          <w:sz w:val="24"/>
          <w:szCs w:val="24"/>
        </w:rPr>
        <w:t>T. castaneum</w:t>
      </w:r>
      <w:r>
        <w:rPr>
          <w:rFonts w:ascii="Times New Roman" w:hAnsi="Times New Roman"/>
          <w:bCs/>
          <w:sz w:val="24"/>
          <w:szCs w:val="24"/>
        </w:rPr>
        <w:t xml:space="preserve">. Dosis dan lama waktu fumigasi  berpengaruh terhadap mortalitas dan pupa menjadi imago. Dosis yang efektif untuk mengendalikan </w:t>
      </w:r>
      <w:r>
        <w:rPr>
          <w:rFonts w:ascii="Times New Roman" w:hAnsi="Times New Roman"/>
          <w:bCs/>
          <w:i/>
          <w:sz w:val="24"/>
          <w:szCs w:val="24"/>
        </w:rPr>
        <w:t xml:space="preserve">T. castaneum </w:t>
      </w:r>
      <w:r>
        <w:rPr>
          <w:rFonts w:ascii="Times New Roman" w:hAnsi="Times New Roman"/>
          <w:bCs/>
          <w:sz w:val="24"/>
          <w:szCs w:val="24"/>
        </w:rPr>
        <w:t>pada peneltian ini adalah pada dosis 1gr/m3 dengan lama pemaparan 12 jam.</w:t>
      </w:r>
    </w:p>
    <w:p w:rsidR="000D6807" w:rsidRDefault="009B1448">
      <w:pPr>
        <w:spacing w:after="300" w:line="240" w:lineRule="auto"/>
        <w:jc w:val="both"/>
      </w:pPr>
      <w:r>
        <w:rPr>
          <w:rFonts w:ascii="Times New Roman" w:hAnsi="Times New Roman"/>
          <w:b/>
          <w:bCs/>
          <w:sz w:val="24"/>
          <w:szCs w:val="24"/>
        </w:rPr>
        <w:t xml:space="preserve">Kata Kunci: </w:t>
      </w:r>
      <w:r>
        <w:rPr>
          <w:rFonts w:ascii="Times New Roman" w:hAnsi="Times New Roman"/>
          <w:bCs/>
          <w:i/>
          <w:sz w:val="24"/>
          <w:szCs w:val="24"/>
        </w:rPr>
        <w:t xml:space="preserve">Tribolium castaneum </w:t>
      </w:r>
      <w:r>
        <w:rPr>
          <w:rFonts w:ascii="Times New Roman" w:hAnsi="Times New Roman"/>
          <w:bCs/>
          <w:sz w:val="24"/>
          <w:szCs w:val="24"/>
        </w:rPr>
        <w:t>Herbst</w:t>
      </w:r>
      <w:r>
        <w:rPr>
          <w:rFonts w:ascii="Times New Roman" w:hAnsi="Times New Roman"/>
          <w:bCs/>
          <w:i/>
          <w:sz w:val="24"/>
          <w:szCs w:val="24"/>
        </w:rPr>
        <w:t xml:space="preserve">, </w:t>
      </w:r>
      <w:r>
        <w:rPr>
          <w:rFonts w:ascii="Times New Roman" w:hAnsi="Times New Roman"/>
          <w:bCs/>
          <w:sz w:val="24"/>
          <w:szCs w:val="24"/>
        </w:rPr>
        <w:t>Fumigasi Phospine (PH</w:t>
      </w:r>
      <w:r>
        <w:rPr>
          <w:rFonts w:ascii="Times New Roman" w:hAnsi="Times New Roman"/>
          <w:bCs/>
          <w:sz w:val="24"/>
          <w:szCs w:val="24"/>
          <w:vertAlign w:val="subscript"/>
        </w:rPr>
        <w:t>3</w:t>
      </w:r>
      <w:r>
        <w:rPr>
          <w:rFonts w:ascii="Times New Roman" w:hAnsi="Times New Roman"/>
          <w:bCs/>
          <w:sz w:val="24"/>
          <w:szCs w:val="24"/>
        </w:rPr>
        <w:t>), Tepung Gandum.</w:t>
      </w:r>
    </w:p>
    <w:p w:rsidR="000D6807" w:rsidRDefault="009B1448">
      <w:pPr>
        <w:spacing w:after="0"/>
        <w:jc w:val="center"/>
        <w:rPr>
          <w:rFonts w:ascii="Times New Roman" w:hAnsi="Times New Roman"/>
          <w:b/>
          <w:bCs/>
          <w:sz w:val="24"/>
          <w:szCs w:val="24"/>
        </w:rPr>
      </w:pPr>
      <w:r>
        <w:rPr>
          <w:rFonts w:ascii="Times New Roman" w:hAnsi="Times New Roman"/>
          <w:b/>
          <w:bCs/>
          <w:sz w:val="24"/>
          <w:szCs w:val="24"/>
        </w:rPr>
        <w:t>ABSTRAC</w:t>
      </w:r>
    </w:p>
    <w:p w:rsidR="000D6807" w:rsidRDefault="009B1448">
      <w:pPr>
        <w:pStyle w:val="HTMLPreformatted"/>
        <w:jc w:val="both"/>
      </w:pPr>
      <w:r>
        <w:rPr>
          <w:rFonts w:ascii="Times New Roman" w:hAnsi="Times New Roman"/>
          <w:i/>
          <w:sz w:val="24"/>
          <w:szCs w:val="24"/>
        </w:rPr>
        <w:tab/>
        <w:t xml:space="preserve">Tribolium castaneumis primary pest in flour commodities and becomes a secondary pest in other rice or serelia. </w:t>
      </w:r>
      <w:r>
        <w:rPr>
          <w:rFonts w:ascii="Times New Roman" w:hAnsi="Times New Roman" w:cs="Times New Roman"/>
          <w:i/>
          <w:sz w:val="24"/>
          <w:szCs w:val="24"/>
          <w:lang w:val="en"/>
        </w:rPr>
        <w:t xml:space="preserve">The infestation of T. castaneum ranges from 34-40%. The damage caused by this pest attack is in the form of decreasing the quality and quantity of flour, marked by changes in color and unpleasant odor so that flour is not suitable for consumption. Fumigation using </w:t>
      </w:r>
      <w:r>
        <w:rPr>
          <w:rFonts w:ascii="Times New Roman" w:hAnsi="Times New Roman" w:cs="Times New Roman"/>
          <w:i/>
          <w:sz w:val="24"/>
          <w:szCs w:val="24"/>
        </w:rPr>
        <w:t>p</w:t>
      </w:r>
      <w:r>
        <w:rPr>
          <w:rFonts w:ascii="Times New Roman" w:hAnsi="Times New Roman" w:cs="Times New Roman"/>
          <w:i/>
          <w:sz w:val="24"/>
          <w:szCs w:val="24"/>
          <w:lang w:val="en"/>
        </w:rPr>
        <w:t xml:space="preserve">hospine (PH3) as an active ingredient is one of the treatment actions to control T. castaneum attack on wheat flour commodities. This study aims to determine the percentage of mortality and the ability of insects T. castaneum and find out the percentage of pupae into imago against the treatment of various doses and fumigation duration. The experimental design used in this study was Completely Randomized Design (CRD) with 12 treatments, 1 control and 3 replications so that there were a total of 37 experimental units. The variables observed included the mortality of pests and the number of pupae that became imago. The results of the observed variables were analyzed using </w:t>
      </w:r>
      <w:r>
        <w:rPr>
          <w:rFonts w:ascii="Times New Roman" w:hAnsi="Times New Roman" w:cs="Times New Roman"/>
          <w:i/>
          <w:sz w:val="24"/>
          <w:szCs w:val="24"/>
        </w:rPr>
        <w:t>variance</w:t>
      </w:r>
      <w:r>
        <w:rPr>
          <w:rFonts w:ascii="Times New Roman" w:hAnsi="Times New Roman" w:cs="Times New Roman"/>
          <w:i/>
          <w:sz w:val="24"/>
          <w:szCs w:val="24"/>
          <w:lang w:val="en"/>
        </w:rPr>
        <w:t xml:space="preserve"> and using the DMRT follow-up test with a level of 5% to see which treatments gave </w:t>
      </w:r>
      <w:r>
        <w:rPr>
          <w:rFonts w:ascii="Times New Roman" w:hAnsi="Times New Roman" w:cs="Times New Roman"/>
          <w:i/>
          <w:sz w:val="24"/>
          <w:szCs w:val="24"/>
          <w:lang w:val="en"/>
        </w:rPr>
        <w:lastRenderedPageBreak/>
        <w:t>different effects. The results of this study indicate that the use of phosphine fumigation is effective for controlling the pest of T. castaneum. The dose and duration of fumigation had an effect on mortality and pupae became imago. The effective dose for controlling T. castaneum in this study was at a dose of 1gr / m3 with a 12-hour exposure period.</w:t>
      </w:r>
    </w:p>
    <w:p w:rsidR="000D6807" w:rsidRDefault="000D6807">
      <w:pPr>
        <w:spacing w:after="0" w:line="276" w:lineRule="auto"/>
        <w:ind w:firstLine="720"/>
        <w:jc w:val="both"/>
        <w:rPr>
          <w:rFonts w:ascii="Times New Roman" w:hAnsi="Times New Roman"/>
          <w:i/>
          <w:sz w:val="24"/>
          <w:szCs w:val="24"/>
        </w:rPr>
      </w:pPr>
    </w:p>
    <w:p w:rsidR="000D6807" w:rsidRDefault="000D6807">
      <w:pPr>
        <w:spacing w:after="0" w:line="15" w:lineRule="exact"/>
        <w:rPr>
          <w:rFonts w:ascii="Times New Roman" w:hAnsi="Times New Roman"/>
          <w:i/>
          <w:sz w:val="24"/>
          <w:szCs w:val="24"/>
        </w:rPr>
      </w:pPr>
    </w:p>
    <w:p w:rsidR="000D6807" w:rsidRDefault="000D6807">
      <w:pPr>
        <w:spacing w:after="0" w:line="15" w:lineRule="exact"/>
        <w:rPr>
          <w:rFonts w:ascii="Times New Roman" w:hAnsi="Times New Roman"/>
          <w:i/>
          <w:sz w:val="24"/>
          <w:szCs w:val="24"/>
        </w:rPr>
      </w:pPr>
    </w:p>
    <w:p w:rsidR="000D6807" w:rsidRDefault="009B1448">
      <w:pPr>
        <w:spacing w:line="360" w:lineRule="auto"/>
      </w:pPr>
      <w:r>
        <w:rPr>
          <w:rFonts w:ascii="Times New Roman" w:hAnsi="Times New Roman"/>
          <w:b/>
          <w:bCs/>
          <w:sz w:val="24"/>
          <w:szCs w:val="24"/>
        </w:rPr>
        <w:t>Keywords</w:t>
      </w:r>
      <w:r>
        <w:rPr>
          <w:rFonts w:ascii="Times New Roman" w:hAnsi="Times New Roman"/>
          <w:sz w:val="24"/>
          <w:szCs w:val="24"/>
        </w:rPr>
        <w:t xml:space="preserve">: </w:t>
      </w:r>
      <w:r>
        <w:rPr>
          <w:rFonts w:ascii="Times New Roman" w:hAnsi="Times New Roman"/>
          <w:bCs/>
          <w:i/>
          <w:sz w:val="24"/>
          <w:szCs w:val="24"/>
        </w:rPr>
        <w:t>Tribolium Castaneum, Fumigation Phospine and Wheat Flour.</w:t>
      </w:r>
    </w:p>
    <w:p w:rsidR="000D6807" w:rsidRDefault="009B1448">
      <w:pPr>
        <w:spacing w:after="0"/>
      </w:pPr>
      <w:r>
        <w:rPr>
          <w:rFonts w:ascii="Times New Roman" w:hAnsi="Times New Roman"/>
          <w:b/>
          <w:bCs/>
          <w:sz w:val="24"/>
          <w:szCs w:val="24"/>
        </w:rPr>
        <w:t>PENDAHULUAN</w:t>
      </w:r>
    </w:p>
    <w:p w:rsidR="000D6807" w:rsidRDefault="009B1448">
      <w:pPr>
        <w:spacing w:after="0" w:line="360" w:lineRule="auto"/>
        <w:ind w:firstLine="720"/>
        <w:jc w:val="both"/>
        <w:rPr>
          <w:rFonts w:ascii="Times New Roman" w:hAnsi="Times New Roman"/>
          <w:sz w:val="24"/>
          <w:szCs w:val="24"/>
        </w:rPr>
      </w:pPr>
      <w:r>
        <w:rPr>
          <w:rFonts w:ascii="Times New Roman" w:hAnsi="Times New Roman"/>
          <w:sz w:val="24"/>
          <w:szCs w:val="24"/>
        </w:rPr>
        <w:t xml:space="preserve">Tingkat konsumsi tepung gandum di Indonesia cenderung mengalami peningkatan. Pada tahun 2010 konsumsi tepung gandum di Indonesia sebanyak 4,3 juta ton, sedangkan pada tahun 2011 meningkat menjadi 4,6 juta ton. Konsumsi tepung gandum yang cenderung meningkat, mengakibatkan volume impor tepung gandum juga mengalami peningkatan. Volume impor tepung gandum meningkat pada tahun 2010 sebanyak 4,8 juta ton menjadi 5,2 juta ton pada tahun 2011 (Purnomo, 2014). </w:t>
      </w:r>
    </w:p>
    <w:p w:rsidR="000D6807" w:rsidRDefault="009B1448">
      <w:pPr>
        <w:spacing w:after="0" w:line="360" w:lineRule="auto"/>
        <w:ind w:firstLine="720"/>
        <w:jc w:val="both"/>
        <w:rPr>
          <w:rFonts w:ascii="Times New Roman" w:hAnsi="Times New Roman"/>
          <w:sz w:val="24"/>
          <w:szCs w:val="24"/>
        </w:rPr>
      </w:pPr>
      <w:r>
        <w:rPr>
          <w:rFonts w:ascii="Times New Roman" w:hAnsi="Times New Roman"/>
          <w:sz w:val="24"/>
          <w:szCs w:val="24"/>
        </w:rPr>
        <w:t>Tepung gandum memiliki beberapa komponen penting. Komponen terbanyak dari tepung gandum adalah zat pati, yaitu karbohidrat kompleks yang tidak larut dalam air. Tepung gandum juga mengandung protein dalam bentuk gluten yang berperan dalam menentukan kekenyalan makanan yang terbuat dari bahan gandum tersebut (Separinta, 2017). Menurut Hendrival (2016), kandungan protein pada tepung gandum lebih tinggi dibandingkan dengan tepung jagung, tepung beras dan dedak. Kadar protein pada tepung gandum adalah 14,9 %. Tepung jagung berkisar 7,45% - 7,89%, tepung beras yaitu 6,98%.</w:t>
      </w:r>
    </w:p>
    <w:p w:rsidR="000D6807" w:rsidRDefault="009B1448">
      <w:pPr>
        <w:pStyle w:val="ListParagraph"/>
        <w:spacing w:line="360" w:lineRule="auto"/>
        <w:ind w:left="0" w:firstLine="850"/>
        <w:jc w:val="both"/>
      </w:pPr>
      <w:r>
        <w:rPr>
          <w:i/>
          <w:sz w:val="24"/>
          <w:szCs w:val="24"/>
        </w:rPr>
        <w:t xml:space="preserve">Tribolium castaneum </w:t>
      </w:r>
      <w:r>
        <w:rPr>
          <w:sz w:val="24"/>
          <w:szCs w:val="24"/>
        </w:rPr>
        <w:t xml:space="preserve">(Herbst) atau kumbang tepung merah merupakan salah satu hama gudang yang dapat menyerang komoditas pada tahap penyimpanan.  </w:t>
      </w:r>
      <w:r>
        <w:rPr>
          <w:i/>
          <w:sz w:val="24"/>
          <w:szCs w:val="24"/>
        </w:rPr>
        <w:t xml:space="preserve">T. castaneum </w:t>
      </w:r>
      <w:r>
        <w:rPr>
          <w:sz w:val="24"/>
          <w:szCs w:val="24"/>
        </w:rPr>
        <w:t xml:space="preserve">tergolong ke dalam hama primer ketika menyerang komoditas tepung dan tergolong hama sekunder ketika menyerang komoditas beras atau serelia lainnya yang telah rusak. </w:t>
      </w:r>
      <w:r>
        <w:rPr>
          <w:i/>
          <w:sz w:val="24"/>
          <w:szCs w:val="24"/>
        </w:rPr>
        <w:t>T. castaneum</w:t>
      </w:r>
      <w:r>
        <w:rPr>
          <w:sz w:val="24"/>
          <w:szCs w:val="24"/>
        </w:rPr>
        <w:t xml:space="preserve"> memiliki sifat polifag sehingga dapat menyerang terhadap beberapa jenis tepung. Serangan tertinggi terdapat pada tepung gandum kemudian disusul pada tepung jagung (Hendrival, 2016). Stadia imago dan larva </w:t>
      </w:r>
      <w:r>
        <w:rPr>
          <w:i/>
          <w:sz w:val="24"/>
          <w:szCs w:val="24"/>
        </w:rPr>
        <w:t>T. castaneum</w:t>
      </w:r>
      <w:r>
        <w:rPr>
          <w:sz w:val="24"/>
          <w:szCs w:val="24"/>
        </w:rPr>
        <w:t xml:space="preserve"> yang menyerang komoditas dapat menyebabkan kerugian pada komoditas yang disimpan. Imago dan larva dapat menyebabkan tepung menjadi rentan terhadap jamur serta dapat mencemari komoditas dengan sekresi yang dihasilkan. Sekresi tersebut berupa kelenjar dengan bau tidak sedap. Serangan yang berat dapat menyebabkan komoditas tercemar oleh benzokuinon yang merupakan hasil ekskresi kumbang tersebut sehingga komoditas tersebut tidak layak untuk dikonsumsi dan menyebabkan tepung berwarna cokelat (Hodges </w:t>
      </w:r>
      <w:r>
        <w:rPr>
          <w:i/>
          <w:sz w:val="24"/>
          <w:szCs w:val="24"/>
        </w:rPr>
        <w:t>et al</w:t>
      </w:r>
      <w:r>
        <w:rPr>
          <w:sz w:val="24"/>
          <w:szCs w:val="24"/>
        </w:rPr>
        <w:t xml:space="preserve"> dalam Hendrival, 2016). Aktivitas makan </w:t>
      </w:r>
      <w:r>
        <w:rPr>
          <w:i/>
          <w:sz w:val="24"/>
          <w:szCs w:val="24"/>
        </w:rPr>
        <w:t>T. castaneum</w:t>
      </w:r>
      <w:r>
        <w:rPr>
          <w:sz w:val="24"/>
          <w:szCs w:val="24"/>
        </w:rPr>
        <w:t xml:space="preserve"> secara langsung dapat menyebabkan penurunan susut berat tertinggi yaitu pada tepung gandum sebesar 22, 32%  (Hendrival, 2016).</w:t>
      </w:r>
    </w:p>
    <w:p w:rsidR="000D6807" w:rsidRDefault="009B1448">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Fumigasi merupakan upaya pengendalian yang hingga saat ini dianggap efektif mengendalikan OPT. Fumigasi pada tepung gandum dapat dilakukan dengan menggunakan bahan aktif phospine, karena tidak menyebabkan pencemaran pada komoditas (Barantan, 2011). Penggunaan fumigasi pada awal penyimpanan sangat berperan dalam mengendalikan OPT yang terbawa selama proses di lapang, sehingga hasil panen yang disimpan dapat terbebas dari keberadaan hama gudang. Hasil panen yang terbebas dari serangan OPT pasca panen dapat mempertahankan tingkat kuantitas dan kualitas. </w:t>
      </w:r>
    </w:p>
    <w:p w:rsidR="000D6807" w:rsidRDefault="009B1448">
      <w:pPr>
        <w:spacing w:after="0" w:line="360" w:lineRule="auto"/>
        <w:ind w:firstLine="851"/>
        <w:jc w:val="both"/>
      </w:pPr>
      <w:r>
        <w:rPr>
          <w:rFonts w:ascii="Times New Roman" w:hAnsi="Times New Roman"/>
          <w:sz w:val="24"/>
          <w:szCs w:val="24"/>
        </w:rPr>
        <w:t xml:space="preserve">Faktor-faktor yang dapat mempengaruhi keefektifan fumigasi diantaranya adalah dosis dan lama pemaparan fumigasi. Dosis yang diperlukan untuk membunuh serangga berhubungan dengan tingkat konsentrasi  gas phospine yang berada di sekitar serangga. lama pemaparan fumigasi akan mempengaruhi waktu yang diperlukan oleh fumigan untuk melepaskan gas dari bentuk formulasi padat menjadi gas. Lama pemaparan fumigasi juga akan mempengaruhi tingkat penyerapan gas phospine oleh serangga. Berdasarkan rekomendasi penggunaan phospine untuk mengendalikan hama gudang secara umum adalah selama 72 jam (Australian Centre for International Agricultural Risearch, dalam Hayata, 2014) dengan dosis standar 1 gr/m3 (Barantan, 2007), akan tetapi secara spesifik dosis dan lama pemaparan fumigasi yang dibutuhkan untuk mengendalikan </w:t>
      </w:r>
      <w:r>
        <w:rPr>
          <w:rFonts w:ascii="Times New Roman" w:hAnsi="Times New Roman"/>
          <w:i/>
          <w:sz w:val="24"/>
          <w:szCs w:val="24"/>
        </w:rPr>
        <w:t xml:space="preserve">T. castaneum </w:t>
      </w:r>
      <w:r>
        <w:rPr>
          <w:rFonts w:ascii="Times New Roman" w:hAnsi="Times New Roman"/>
          <w:sz w:val="24"/>
          <w:szCs w:val="24"/>
        </w:rPr>
        <w:t xml:space="preserve">pada tepung gandum masih perlu dipelajari. </w:t>
      </w:r>
    </w:p>
    <w:p w:rsidR="000D6807" w:rsidRDefault="009B1448">
      <w:pPr>
        <w:spacing w:line="360" w:lineRule="auto"/>
        <w:ind w:firstLine="720"/>
        <w:jc w:val="both"/>
      </w:pPr>
      <w:r>
        <w:rPr>
          <w:rFonts w:ascii="Times New Roman" w:hAnsi="Times New Roman"/>
          <w:sz w:val="24"/>
          <w:szCs w:val="24"/>
        </w:rPr>
        <w:t xml:space="preserve">Berdasarkan pada uraian di atas, maka perlu dilakukan penelitian mengenai dosis dan lama pemaparan fumigasi phospine (PH3) terhadap </w:t>
      </w:r>
      <w:r>
        <w:rPr>
          <w:rFonts w:ascii="Times New Roman" w:hAnsi="Times New Roman"/>
          <w:i/>
          <w:sz w:val="24"/>
          <w:szCs w:val="24"/>
        </w:rPr>
        <w:t xml:space="preserve">Tribolium castaneum </w:t>
      </w:r>
      <w:r>
        <w:rPr>
          <w:rFonts w:ascii="Times New Roman" w:hAnsi="Times New Roman"/>
          <w:sz w:val="24"/>
          <w:szCs w:val="24"/>
        </w:rPr>
        <w:t xml:space="preserve">pada tepung gandum. Analisis mortalitas dan kemampuan </w:t>
      </w:r>
      <w:r>
        <w:rPr>
          <w:rFonts w:ascii="Times New Roman" w:hAnsi="Times New Roman"/>
          <w:i/>
          <w:sz w:val="24"/>
          <w:szCs w:val="24"/>
        </w:rPr>
        <w:t xml:space="preserve">Tribolium castaneum </w:t>
      </w:r>
      <w:r>
        <w:rPr>
          <w:rFonts w:ascii="Times New Roman" w:hAnsi="Times New Roman"/>
          <w:sz w:val="24"/>
          <w:szCs w:val="24"/>
        </w:rPr>
        <w:t>menyelesaikan stadianya</w:t>
      </w:r>
      <w:r>
        <w:rPr>
          <w:rFonts w:ascii="Times New Roman" w:hAnsi="Times New Roman"/>
          <w:i/>
          <w:sz w:val="24"/>
          <w:szCs w:val="24"/>
        </w:rPr>
        <w:t xml:space="preserve"> </w:t>
      </w:r>
      <w:r>
        <w:rPr>
          <w:rFonts w:ascii="Times New Roman" w:hAnsi="Times New Roman"/>
          <w:sz w:val="24"/>
          <w:szCs w:val="24"/>
        </w:rPr>
        <w:t>ini akan menunjukkan tentang dosis fumigan dan lama fumigasi Phospine yang tepat untuk diaplikasikan pada tepung gandum.</w:t>
      </w:r>
    </w:p>
    <w:p w:rsidR="000D6807" w:rsidRDefault="009B1448">
      <w:r>
        <w:rPr>
          <w:rFonts w:ascii="Times New Roman" w:hAnsi="Times New Roman"/>
          <w:b/>
          <w:bCs/>
          <w:sz w:val="24"/>
          <w:szCs w:val="24"/>
        </w:rPr>
        <w:t>METODOLOGI</w:t>
      </w:r>
    </w:p>
    <w:p w:rsidR="000D6807" w:rsidRDefault="009B1448">
      <w:pPr>
        <w:spacing w:line="276" w:lineRule="auto"/>
      </w:pPr>
      <w:r>
        <w:rPr>
          <w:rFonts w:ascii="Times New Roman" w:hAnsi="Times New Roman"/>
          <w:b/>
          <w:bCs/>
          <w:sz w:val="24"/>
          <w:szCs w:val="24"/>
        </w:rPr>
        <w:t>Waktu dan Tempat</w:t>
      </w:r>
    </w:p>
    <w:p w:rsidR="000D6807" w:rsidRDefault="009B1448">
      <w:pPr>
        <w:spacing w:after="500" w:line="360" w:lineRule="auto"/>
        <w:ind w:firstLine="720"/>
        <w:jc w:val="both"/>
      </w:pPr>
      <w:r>
        <w:rPr>
          <w:rFonts w:ascii="Times New Roman" w:hAnsi="Times New Roman"/>
          <w:sz w:val="24"/>
          <w:szCs w:val="24"/>
        </w:rPr>
        <w:t xml:space="preserve">Penelitian Pengaruh Fumigasi Phospine terhadap Mortalitas </w:t>
      </w:r>
      <w:r>
        <w:rPr>
          <w:rFonts w:ascii="Times New Roman" w:hAnsi="Times New Roman"/>
          <w:i/>
          <w:sz w:val="24"/>
          <w:szCs w:val="24"/>
        </w:rPr>
        <w:t>Tribolium castaneum</w:t>
      </w:r>
      <w:r>
        <w:rPr>
          <w:rStyle w:val="A5"/>
          <w:rFonts w:ascii="Times New Roman" w:hAnsi="Times New Roman"/>
          <w:sz w:val="24"/>
          <w:szCs w:val="24"/>
        </w:rPr>
        <w:t xml:space="preserve"> pada Tepung Gandum</w:t>
      </w:r>
      <w:r>
        <w:rPr>
          <w:rFonts w:ascii="Times New Roman" w:hAnsi="Times New Roman"/>
          <w:sz w:val="24"/>
          <w:szCs w:val="24"/>
        </w:rPr>
        <w:t xml:space="preserve"> dilakukan di Balai Besar Karantina Tumbuhan, Surabaya. Penelitian dilaksanakan pada bulan Oktober-Nopember 2018</w:t>
      </w:r>
      <w:r>
        <w:rPr>
          <w:rFonts w:ascii="Times New Roman" w:hAnsi="Times New Roman"/>
        </w:rPr>
        <w:t>.</w:t>
      </w:r>
    </w:p>
    <w:p w:rsidR="000D6807" w:rsidRDefault="009B1448">
      <w:pPr>
        <w:spacing w:line="276" w:lineRule="auto"/>
        <w:jc w:val="both"/>
      </w:pPr>
      <w:r>
        <w:rPr>
          <w:rFonts w:ascii="Times New Roman" w:hAnsi="Times New Roman"/>
          <w:b/>
          <w:bCs/>
          <w:sz w:val="24"/>
          <w:szCs w:val="24"/>
        </w:rPr>
        <w:t>Metode Penelitian</w:t>
      </w:r>
    </w:p>
    <w:p w:rsidR="000D6807" w:rsidRDefault="009B1448">
      <w:pPr>
        <w:spacing w:after="0" w:line="360" w:lineRule="auto"/>
        <w:jc w:val="both"/>
        <w:rPr>
          <w:rFonts w:ascii="Times New Roman" w:hAnsi="Times New Roman"/>
          <w:sz w:val="24"/>
          <w:szCs w:val="24"/>
        </w:rPr>
      </w:pPr>
      <w:r>
        <w:rPr>
          <w:rFonts w:ascii="Times New Roman" w:hAnsi="Times New Roman"/>
          <w:sz w:val="24"/>
          <w:szCs w:val="24"/>
        </w:rPr>
        <w:tab/>
        <w:t xml:space="preserve">Percobaan ini menggunakan Rancangan Acak Lengkap (RAL) dengan 13 perlakuan dan 3 ulangan setiap perlakuan. Perlakuan yang digunakan pada penelitian ini yaitu P0=  kontrol; P1 = Dosis 0,5 g/m3, lama fumigasi 6 jam; P2 = Dosis 0,5 g/m3, lama fumigasi 12 </w:t>
      </w:r>
      <w:r>
        <w:rPr>
          <w:rFonts w:ascii="Times New Roman" w:hAnsi="Times New Roman"/>
          <w:sz w:val="24"/>
          <w:szCs w:val="24"/>
        </w:rPr>
        <w:lastRenderedPageBreak/>
        <w:t>jam; P3 = Dosis 0,5 g/m3, lama fumigasi 18 jam; P4 = Dosis 0,5 g/m3, lama fumigasi 24 jam; P5 = Dosis 1 g/m3, lama fumigasi 6 jam; P6 = Dosis 1 g/m3, lama fumigasi 12 jam; P7 = Dosis 1 g/m3, lama fumigasi 18 jam; P8 = Dosis 1 g/m3, lama fumigasi 24 jam; P9 = Dosis 1,5 g/m3, lama fumigasi 6 jam; P10 = Dosis 0,5 g/m3, lama fumigasi 12 jam; P11 = Dosis 1,5 g/m3, lama fumigasi 18 jam; dan P12 = Dosis 1,5 g/m3, lama fumigasi 24 jam.</w:t>
      </w:r>
    </w:p>
    <w:p w:rsidR="000D6807" w:rsidRDefault="000D6807">
      <w:pPr>
        <w:spacing w:after="0" w:line="18" w:lineRule="exact"/>
        <w:rPr>
          <w:rFonts w:ascii="Times New Roman" w:hAnsi="Times New Roman"/>
          <w:sz w:val="24"/>
          <w:szCs w:val="24"/>
        </w:rPr>
      </w:pPr>
    </w:p>
    <w:p w:rsidR="000D6807" w:rsidRDefault="009B1448">
      <w:pPr>
        <w:spacing w:after="0" w:line="360" w:lineRule="auto"/>
        <w:ind w:firstLine="720"/>
        <w:jc w:val="both"/>
      </w:pPr>
      <w:r>
        <w:rPr>
          <w:rFonts w:ascii="Times New Roman" w:hAnsi="Times New Roman"/>
          <w:b/>
          <w:bCs/>
          <w:i/>
          <w:iCs/>
          <w:sz w:val="24"/>
          <w:szCs w:val="24"/>
        </w:rPr>
        <w:t xml:space="preserve">Pembiakan Tribolium castaneum, </w:t>
      </w:r>
      <w:r>
        <w:rPr>
          <w:rFonts w:ascii="Times New Roman" w:hAnsi="Times New Roman"/>
          <w:sz w:val="24"/>
          <w:szCs w:val="24"/>
        </w:rPr>
        <w:t>dilaksanakan dengan mengambil sample tepung gandum yang telah terinfestasi oleh serangga. Serangga yang diperoleh selanjutnya dibawa ke Laboratorium hama untuk diidentifikasi dan diperbanyak secara massal. Media makanan yaitu tepung gandum diberikan. Selanjutnya serangga turunan F1 yang terbentuk dari telur dijadikan sebagai serangga uji, kemudian dilanjutkan dengan tahapan infestasi pada masing-masing tepung gandum sebanyak 20 ekor larva, 10 ekor pupa dan 30 imago per unit percobaan.</w:t>
      </w:r>
    </w:p>
    <w:p w:rsidR="000D6807" w:rsidRDefault="009B1448">
      <w:pPr>
        <w:spacing w:after="0" w:line="360" w:lineRule="auto"/>
        <w:ind w:firstLine="720"/>
        <w:jc w:val="both"/>
      </w:pPr>
      <w:r>
        <w:rPr>
          <w:rFonts w:ascii="Times New Roman" w:hAnsi="Times New Roman"/>
          <w:b/>
          <w:bCs/>
          <w:i/>
          <w:iCs/>
          <w:sz w:val="24"/>
          <w:szCs w:val="24"/>
        </w:rPr>
        <w:t xml:space="preserve">Persiapan Komoditas Pengujian, </w:t>
      </w:r>
      <w:r>
        <w:rPr>
          <w:rFonts w:ascii="Times New Roman" w:hAnsi="Times New Roman"/>
          <w:sz w:val="24"/>
          <w:szCs w:val="24"/>
        </w:rPr>
        <w:t xml:space="preserve">Tepung gandum yang digunakan pada penelitian ini menggunakan tepung gandum yang sudah jadi. Tepung gandum yang didapat selanjutnya diayak lebih dahulu dan ditimbang sebanyak 500 gr. </w:t>
      </w:r>
    </w:p>
    <w:p w:rsidR="000D6807" w:rsidRDefault="009B1448">
      <w:pPr>
        <w:pStyle w:val="Default"/>
        <w:spacing w:line="360" w:lineRule="auto"/>
        <w:ind w:firstLine="720"/>
        <w:jc w:val="both"/>
      </w:pPr>
      <w:r>
        <w:rPr>
          <w:b/>
          <w:bCs/>
          <w:i/>
          <w:iCs/>
        </w:rPr>
        <w:t>Pembuatan Ruang Fumigasi,</w:t>
      </w:r>
      <w:r>
        <w:t xml:space="preserve"> </w:t>
      </w:r>
      <w:r>
        <w:rPr>
          <w:color w:val="auto"/>
        </w:rPr>
        <w:t>Ruang fumigasi yang digunakan dalam penelitian ini menggunakan ruang fumigasi berbentuk kubus berukuran 1m</w:t>
      </w:r>
      <w:r>
        <w:rPr>
          <w:color w:val="auto"/>
          <w:vertAlign w:val="superscript"/>
        </w:rPr>
        <w:t>3</w:t>
      </w:r>
      <w:r>
        <w:rPr>
          <w:color w:val="auto"/>
        </w:rPr>
        <w:t xml:space="preserve">. Ruang fumigasi terbuat dari kerangka berbahan kayu yang dilapisi dengan plastik bening. Sambungan antar plastik ditutup menggunakan seal tape agar kedap gas. Selang monitor dipasang pada pada sisi bagian atas pada salah satu sudut ruang fumigasi, kemudian ujung selang monitor yang lainnya dibiarkan berada di luar ruang fumigasi sampai pada titik aman konsentrasi gas. Selang monitor ditempatkan jauh dari penempatan fumigan. </w:t>
      </w:r>
    </w:p>
    <w:p w:rsidR="000D6807" w:rsidRDefault="009B1448">
      <w:pPr>
        <w:pStyle w:val="Default"/>
        <w:spacing w:line="360" w:lineRule="auto"/>
        <w:ind w:firstLine="566"/>
        <w:jc w:val="both"/>
      </w:pPr>
      <w:r>
        <w:rPr>
          <w:b/>
          <w:bCs/>
          <w:i/>
          <w:iCs/>
        </w:rPr>
        <w:t xml:space="preserve">Aplikasi Fumigasi, </w:t>
      </w:r>
      <w:r>
        <w:rPr>
          <w:bCs/>
          <w:color w:val="auto"/>
        </w:rPr>
        <w:t>Fumigan yang digunakan adalah Phospine (PH3) dengan bentuk formulasi tablet. Fumigan terlebih dahulu ditimbang sesuai jenis perlakuan yaitu 0,5 gr, 1 gr dan 1,5</w:t>
      </w:r>
      <w:r>
        <w:rPr>
          <w:color w:val="auto"/>
        </w:rPr>
        <w:t xml:space="preserve"> gr</w:t>
      </w:r>
      <w:r>
        <w:rPr>
          <w:bCs/>
          <w:color w:val="auto"/>
        </w:rPr>
        <w:t xml:space="preserve"> yang dilakukan sebanyak 3 kali ulangan. Fumigan diletakkan di dalam ruang fumigasi menggunakan wadah kotak karton. Ruang fumigasi selanjutnya ditutup dengan rapat agar kedap gas. Proses penimbangan dan peletakan fumigan di dalam ruang fumigasi menggunakan alat keselamatan kerja. Aerasi dilakukan berdasarkan lama pemaparan, yaitu (6, 12, 18 dan 24) jam. Proses aerasi dilakukan dengan membuka penutup plastik ruang fumigasi selama kurang lebih 30 menit. Pengukuran ambang batas gas phospine (TLV) yaitu 0,3 ppm dilakukan setelah tahap aerasi selesai dilakukan. Tahap terakhir yaitu deaktivasi fumigan dilakukan dengan mengambil sisa fumigan dari dalam ruang fumigasi. Sisa fumigan dimasukkan ke dalam timba.</w:t>
      </w:r>
    </w:p>
    <w:p w:rsidR="000D6807" w:rsidRDefault="009B1448">
      <w:pPr>
        <w:spacing w:line="348" w:lineRule="auto"/>
        <w:ind w:firstLine="566"/>
        <w:jc w:val="both"/>
      </w:pPr>
      <w:r>
        <w:rPr>
          <w:rFonts w:ascii="Times New Roman" w:hAnsi="Times New Roman"/>
          <w:b/>
          <w:bCs/>
          <w:i/>
          <w:iCs/>
          <w:sz w:val="24"/>
          <w:szCs w:val="24"/>
        </w:rPr>
        <w:lastRenderedPageBreak/>
        <w:t xml:space="preserve">Pengolahan Data, </w:t>
      </w:r>
      <w:r>
        <w:rPr>
          <w:rFonts w:ascii="Times New Roman" w:hAnsi="Times New Roman"/>
          <w:bCs/>
          <w:iCs/>
          <w:sz w:val="24"/>
          <w:szCs w:val="24"/>
        </w:rPr>
        <w:t>data yang diperolah dilakukan analisa sidik ragam (ANOVA) kemudian dilanjutkan dengan uji Duncan dengan taraf kepercayaan 5% untuk mengetahui pengaruh setiap perlakuan tehadap berbagai variabel yang diamati.</w:t>
      </w:r>
    </w:p>
    <w:p w:rsidR="000D6807" w:rsidRDefault="009B1448">
      <w:pPr>
        <w:spacing w:after="0" w:line="360" w:lineRule="auto"/>
      </w:pPr>
      <w:r>
        <w:rPr>
          <w:rFonts w:ascii="Times New Roman" w:hAnsi="Times New Roman"/>
          <w:b/>
          <w:bCs/>
          <w:sz w:val="24"/>
          <w:szCs w:val="24"/>
        </w:rPr>
        <w:t>HASIL DAN PEMBAHASAN</w:t>
      </w:r>
    </w:p>
    <w:p w:rsidR="000D6807" w:rsidRDefault="009B1448">
      <w:pPr>
        <w:pStyle w:val="ListParagraph"/>
        <w:numPr>
          <w:ilvl w:val="0"/>
          <w:numId w:val="1"/>
        </w:numPr>
        <w:spacing w:line="360" w:lineRule="auto"/>
        <w:ind w:left="567" w:hanging="567"/>
        <w:jc w:val="both"/>
      </w:pPr>
      <w:r>
        <w:rPr>
          <w:b/>
          <w:bCs/>
          <w:iCs/>
          <w:sz w:val="24"/>
          <w:szCs w:val="24"/>
        </w:rPr>
        <w:t xml:space="preserve">Mortalitas Hama </w:t>
      </w:r>
      <w:r>
        <w:rPr>
          <w:b/>
          <w:bCs/>
          <w:i/>
          <w:iCs/>
          <w:sz w:val="24"/>
          <w:szCs w:val="24"/>
        </w:rPr>
        <w:t xml:space="preserve">Tribolium castaneum </w:t>
      </w:r>
      <w:r>
        <w:rPr>
          <w:b/>
          <w:bCs/>
          <w:iCs/>
          <w:sz w:val="24"/>
          <w:szCs w:val="24"/>
        </w:rPr>
        <w:t>(Herbs)</w:t>
      </w:r>
    </w:p>
    <w:p w:rsidR="000D6807" w:rsidRDefault="009B1448">
      <w:pPr>
        <w:pStyle w:val="ListParagraph"/>
        <w:spacing w:line="360" w:lineRule="auto"/>
        <w:ind w:left="0" w:firstLine="567"/>
        <w:jc w:val="both"/>
      </w:pPr>
      <w:r>
        <w:rPr>
          <w:color w:val="000000"/>
          <w:sz w:val="24"/>
          <w:szCs w:val="24"/>
        </w:rPr>
        <w:t xml:space="preserve">Aplikasi fumigasi Phospine pada </w:t>
      </w:r>
      <w:r>
        <w:rPr>
          <w:i/>
          <w:color w:val="000000"/>
          <w:sz w:val="24"/>
          <w:szCs w:val="24"/>
        </w:rPr>
        <w:t xml:space="preserve">T. castaneum </w:t>
      </w:r>
      <w:r>
        <w:rPr>
          <w:color w:val="000000"/>
          <w:sz w:val="24"/>
          <w:szCs w:val="24"/>
        </w:rPr>
        <w:t>pada stadia larva dan imago dengan berbagai dosis menunjukan pengaruh yang berbeda yang ditunjukkan pada data berikut:</w:t>
      </w:r>
    </w:p>
    <w:p w:rsidR="000D6807" w:rsidRDefault="009B1448">
      <w:pPr>
        <w:spacing w:after="0" w:line="360" w:lineRule="auto"/>
        <w:jc w:val="both"/>
      </w:pPr>
      <w:r>
        <w:rPr>
          <w:rFonts w:ascii="Times New Roman" w:hAnsi="Times New Roman"/>
          <w:sz w:val="24"/>
          <w:szCs w:val="24"/>
        </w:rPr>
        <w:t xml:space="preserve">Tabel 1. Mortalitas Hama </w:t>
      </w:r>
      <w:r>
        <w:rPr>
          <w:rFonts w:ascii="Times New Roman" w:hAnsi="Times New Roman"/>
          <w:i/>
          <w:sz w:val="24"/>
          <w:szCs w:val="24"/>
        </w:rPr>
        <w:t>T. castaeum</w:t>
      </w:r>
    </w:p>
    <w:tbl>
      <w:tblPr>
        <w:tblW w:w="9072" w:type="dxa"/>
        <w:tblInd w:w="108" w:type="dxa"/>
        <w:tblCellMar>
          <w:left w:w="10" w:type="dxa"/>
          <w:right w:w="10" w:type="dxa"/>
        </w:tblCellMar>
        <w:tblLook w:val="04A0" w:firstRow="1" w:lastRow="0" w:firstColumn="1" w:lastColumn="0" w:noHBand="0" w:noVBand="1"/>
      </w:tblPr>
      <w:tblGrid>
        <w:gridCol w:w="3828"/>
        <w:gridCol w:w="2693"/>
        <w:gridCol w:w="2551"/>
      </w:tblGrid>
      <w:tr w:rsidR="000D6807">
        <w:trPr>
          <w:trHeight w:val="273"/>
        </w:trPr>
        <w:tc>
          <w:tcPr>
            <w:tcW w:w="3828"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Perlakuan Dosis</w:t>
            </w:r>
          </w:p>
        </w:tc>
        <w:tc>
          <w:tcPr>
            <w:tcW w:w="5244"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Mortalitas %</w:t>
            </w:r>
          </w:p>
        </w:tc>
      </w:tr>
      <w:tr w:rsidR="000D6807">
        <w:trPr>
          <w:trHeight w:val="146"/>
        </w:trPr>
        <w:tc>
          <w:tcPr>
            <w:tcW w:w="3828"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rsidR="000D6807" w:rsidRDefault="000D6807">
            <w:pPr>
              <w:autoSpaceDE w:val="0"/>
              <w:spacing w:after="0" w:line="240" w:lineRule="auto"/>
              <w:jc w:val="both"/>
              <w:rPr>
                <w:rFonts w:ascii="Times New Roman" w:eastAsia="Times New Roman" w:hAnsi="Times New Roman"/>
                <w:color w:val="000000"/>
                <w:sz w:val="24"/>
                <w:szCs w:val="24"/>
              </w:rPr>
            </w:pPr>
          </w:p>
        </w:tc>
        <w:tc>
          <w:tcPr>
            <w:tcW w:w="2693" w:type="dxa"/>
            <w:tcBorders>
              <w:top w:val="single" w:sz="4" w:space="0" w:color="000000"/>
              <w:bottom w:val="single" w:sz="4" w:space="0" w:color="000000"/>
            </w:tcBorders>
            <w:shd w:val="clear" w:color="auto" w:fill="auto"/>
            <w:tcMar>
              <w:top w:w="0" w:type="dxa"/>
              <w:left w:w="108" w:type="dxa"/>
              <w:bottom w:w="0" w:type="dxa"/>
              <w:right w:w="108" w:type="dxa"/>
            </w:tcMar>
          </w:tcPr>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Larva</w:t>
            </w:r>
          </w:p>
        </w:tc>
        <w:tc>
          <w:tcPr>
            <w:tcW w:w="2551" w:type="dxa"/>
            <w:tcBorders>
              <w:top w:val="single" w:sz="4" w:space="0" w:color="000000"/>
              <w:bottom w:val="single" w:sz="4" w:space="0" w:color="000000"/>
            </w:tcBorders>
            <w:shd w:val="clear" w:color="auto" w:fill="auto"/>
            <w:tcMar>
              <w:top w:w="0" w:type="dxa"/>
              <w:left w:w="108" w:type="dxa"/>
              <w:bottom w:w="0" w:type="dxa"/>
              <w:right w:w="108" w:type="dxa"/>
            </w:tcMar>
          </w:tcPr>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Imago</w:t>
            </w:r>
          </w:p>
        </w:tc>
      </w:tr>
      <w:tr w:rsidR="000D6807">
        <w:trPr>
          <w:trHeight w:val="3624"/>
        </w:trPr>
        <w:tc>
          <w:tcPr>
            <w:tcW w:w="382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807" w:rsidRDefault="009B1448">
            <w:pPr>
              <w:autoSpaceDE w:val="0"/>
              <w:spacing w:after="0" w:line="240" w:lineRule="auto"/>
              <w:ind w:left="176"/>
              <w:rPr>
                <w:rFonts w:ascii="Times New Roman" w:hAnsi="Times New Roman"/>
                <w:sz w:val="24"/>
                <w:szCs w:val="24"/>
              </w:rPr>
            </w:pPr>
            <w:r>
              <w:rPr>
                <w:rFonts w:ascii="Times New Roman" w:hAnsi="Times New Roman"/>
                <w:sz w:val="24"/>
                <w:szCs w:val="24"/>
              </w:rPr>
              <w:t>P0 (Kontrol)</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P1 </w:t>
            </w:r>
            <w:r>
              <w:rPr>
                <w:rFonts w:ascii="Times New Roman" w:hAnsi="Times New Roman"/>
                <w:sz w:val="24"/>
                <w:szCs w:val="24"/>
              </w:rPr>
              <w:t>(0,5 gr/m3, 6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P2 </w:t>
            </w:r>
            <w:r>
              <w:rPr>
                <w:rFonts w:ascii="Times New Roman" w:hAnsi="Times New Roman"/>
                <w:sz w:val="24"/>
                <w:szCs w:val="24"/>
              </w:rPr>
              <w:t>(0,5 gr/m3, 12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P3 </w:t>
            </w:r>
            <w:r>
              <w:rPr>
                <w:rFonts w:ascii="Times New Roman" w:hAnsi="Times New Roman"/>
                <w:sz w:val="24"/>
                <w:szCs w:val="24"/>
              </w:rPr>
              <w:t>(0,5 gr/m3, 18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P4 </w:t>
            </w:r>
            <w:r>
              <w:rPr>
                <w:rFonts w:ascii="Times New Roman" w:hAnsi="Times New Roman"/>
                <w:sz w:val="24"/>
                <w:szCs w:val="24"/>
              </w:rPr>
              <w:t>(0,5 gr/m3, 24 jam)</w:t>
            </w:r>
          </w:p>
          <w:p w:rsidR="000D6807" w:rsidRDefault="009B1448">
            <w:pPr>
              <w:autoSpaceDE w:val="0"/>
              <w:spacing w:after="0" w:line="240" w:lineRule="auto"/>
              <w:ind w:left="176"/>
            </w:pPr>
            <w:r>
              <w:rPr>
                <w:rFonts w:ascii="Times New Roman" w:eastAsia="Times New Roman" w:hAnsi="Times New Roman"/>
                <w:noProof/>
                <w:color w:val="000000"/>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-78108</wp:posOffset>
                      </wp:positionH>
                      <wp:positionV relativeFrom="paragraph">
                        <wp:posOffset>-630</wp:posOffset>
                      </wp:positionV>
                      <wp:extent cx="5781678" cy="0"/>
                      <wp:effectExtent l="0" t="0" r="9522" b="19050"/>
                      <wp:wrapNone/>
                      <wp:docPr id="2" name="Straight Connector 37"/>
                      <wp:cNvGraphicFramePr/>
                      <a:graphic xmlns:a="http://schemas.openxmlformats.org/drawingml/2006/main">
                        <a:graphicData uri="http://schemas.microsoft.com/office/word/2010/wordprocessingShape">
                          <wps:wsp>
                            <wps:cNvCnPr/>
                            <wps:spPr>
                              <a:xfrm>
                                <a:off x="0" y="0"/>
                                <a:ext cx="5781678" cy="0"/>
                              </a:xfrm>
                              <a:prstGeom prst="straightConnector1">
                                <a:avLst/>
                              </a:prstGeom>
                              <a:noFill/>
                              <a:ln w="9528">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Connector 37" o:spid="_x0000_s1026" type="#_x0000_t32" style="position:absolute;margin-left:-6.15pt;margin-top:-.05pt;width:455.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4logEAAD0DAAAOAAAAZHJzL2Uyb0RvYy54bWysUk1v2zAMvQ/YfxB0b5ykaJMZcXpI0F2G&#10;LUDXH6DIsi1AEgVSi5N/P0px033chvlAiyL5yPfEzdPZO3EySBZCIxezuRQmaGht6Bv5+v35bi0F&#10;JRVa5SCYRl4Myaftxw+bMdZmCQO41qBgkED1GBs5pBTrqiI9GK9oBtEEDnaAXiV2sa9aVCOje1ct&#10;5/PHagRsI4I2RHy7vwbltuB3ndHpW9eRScI1kmdLxWKxx2yr7UbVPao4WD2Nof5hCq9s4KY3qL1K&#10;SvxA+xeUtxqBoEszDb6CrrPaFA7MZjH/g83LoKIpXFgcijeZ6P/B6q+nAwrbNnIpRVCen+globL9&#10;kMQOQmABAcX9Kgs1Rqo5fxcOOHkUD5hZnzv0+c98xLmIe7mJa85JaL58WK0XjyteB/0Wq94LI1L6&#10;bMCLfGgkTSPcJlgUcdXpCyVuzYVvBblrgGfrXHlJF8TYyE8Py3UpIHC2zcGcRtgfdw7FSeVdKF9m&#10;xWC/pWXkvaLhmldCU5oLnJ1FuNLOpyO0l6JGuec3KnjTPuUl+NUv1e9bv/0JAAD//wMAUEsDBBQA&#10;BgAIAAAAIQChvdO43QAAAAcBAAAPAAAAZHJzL2Rvd25yZXYueG1sTI7RSsNAFETfBf9huQVfpN00&#10;FYlpNqWIhSIitfYDbpPbJCR7N+xu2ujXu/VF32aYYeZkq1F34kzWNYYVzGcRCOLClA1XCg6fm2kC&#10;wnnkEjvDpOCLHKzy25sM09Jc+IPOe1+JMMIuRQW1930qpStq0uhmpicO2clYjT5YW8nS4iWM607G&#10;UfQoNTYcHmrs6bmmot0PWsEW30+7+4f2bWMXL4fvYbu27etOqbvJuF6C8DT6vzJc8QM65IHpaAYu&#10;negUTOfxIlSvAkTIk6ckBnH89TLP5H/+/AcAAP//AwBQSwECLQAUAAYACAAAACEAtoM4kv4AAADh&#10;AQAAEwAAAAAAAAAAAAAAAAAAAAAAW0NvbnRlbnRfVHlwZXNdLnhtbFBLAQItABQABgAIAAAAIQA4&#10;/SH/1gAAAJQBAAALAAAAAAAAAAAAAAAAAC8BAABfcmVscy8ucmVsc1BLAQItABQABgAIAAAAIQCE&#10;F74logEAAD0DAAAOAAAAAAAAAAAAAAAAAC4CAABkcnMvZTJvRG9jLnhtbFBLAQItABQABgAIAAAA&#10;IQChvdO43QAAAAcBAAAPAAAAAAAAAAAAAAAAAPwDAABkcnMvZG93bnJldi54bWxQSwUGAAAAAAQA&#10;BADzAAAABgUAAAAA&#10;" strokeweight=".26467mm"/>
                  </w:pict>
                </mc:Fallback>
              </mc:AlternateContent>
            </w:r>
            <w:r>
              <w:rPr>
                <w:rFonts w:ascii="Times New Roman" w:eastAsia="Times New Roman" w:hAnsi="Times New Roman"/>
                <w:color w:val="000000"/>
                <w:sz w:val="24"/>
                <w:szCs w:val="24"/>
              </w:rPr>
              <w:t xml:space="preserve">P5 </w:t>
            </w:r>
            <w:r>
              <w:rPr>
                <w:rFonts w:ascii="Times New Roman" w:hAnsi="Times New Roman"/>
                <w:sz w:val="24"/>
                <w:szCs w:val="24"/>
              </w:rPr>
              <w:t>(1 gr/m3, 6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P6 </w:t>
            </w:r>
            <w:r>
              <w:rPr>
                <w:rFonts w:ascii="Times New Roman" w:hAnsi="Times New Roman"/>
                <w:sz w:val="24"/>
                <w:szCs w:val="24"/>
              </w:rPr>
              <w:t>(1 gr/m3, 12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P7 </w:t>
            </w:r>
            <w:r>
              <w:rPr>
                <w:rFonts w:ascii="Times New Roman" w:hAnsi="Times New Roman"/>
                <w:sz w:val="24"/>
                <w:szCs w:val="24"/>
              </w:rPr>
              <w:t>(1 gr/m3, 18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P8 </w:t>
            </w:r>
            <w:r>
              <w:rPr>
                <w:rFonts w:ascii="Times New Roman" w:hAnsi="Times New Roman"/>
                <w:sz w:val="24"/>
                <w:szCs w:val="24"/>
              </w:rPr>
              <w:t>(1 gr/m3, 24 jam)</w:t>
            </w:r>
          </w:p>
          <w:p w:rsidR="000D6807" w:rsidRDefault="009B1448">
            <w:pPr>
              <w:autoSpaceDE w:val="0"/>
              <w:spacing w:after="0" w:line="240" w:lineRule="auto"/>
              <w:ind w:left="176"/>
            </w:pPr>
            <w:r>
              <w:rPr>
                <w:rFonts w:ascii="Times New Roman" w:eastAsia="Times New Roman" w:hAnsi="Times New Roman"/>
                <w:noProof/>
                <w:color w:val="000000"/>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-78108</wp:posOffset>
                      </wp:positionH>
                      <wp:positionV relativeFrom="paragraph">
                        <wp:posOffset>-6345</wp:posOffset>
                      </wp:positionV>
                      <wp:extent cx="5781678" cy="0"/>
                      <wp:effectExtent l="0" t="0" r="9522" b="19050"/>
                      <wp:wrapNone/>
                      <wp:docPr id="3" name="Straight Connector 38"/>
                      <wp:cNvGraphicFramePr/>
                      <a:graphic xmlns:a="http://schemas.openxmlformats.org/drawingml/2006/main">
                        <a:graphicData uri="http://schemas.microsoft.com/office/word/2010/wordprocessingShape">
                          <wps:wsp>
                            <wps:cNvCnPr/>
                            <wps:spPr>
                              <a:xfrm>
                                <a:off x="0" y="0"/>
                                <a:ext cx="5781678" cy="0"/>
                              </a:xfrm>
                              <a:prstGeom prst="straightConnector1">
                                <a:avLst/>
                              </a:prstGeom>
                              <a:noFill/>
                              <a:ln w="9528">
                                <a:solidFill>
                                  <a:srgbClr val="000000"/>
                                </a:solidFill>
                                <a:prstDash val="solid"/>
                              </a:ln>
                            </wps:spPr>
                            <wps:bodyPr/>
                          </wps:wsp>
                        </a:graphicData>
                      </a:graphic>
                    </wp:anchor>
                  </w:drawing>
                </mc:Choice>
                <mc:Fallback>
                  <w:pict>
                    <v:shape id="Straight Connector 38" o:spid="_x0000_s1026" type="#_x0000_t32" style="position:absolute;margin-left:-6.15pt;margin-top:-.5pt;width:455.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ioogEAAD0DAAAOAAAAZHJzL2Uyb0RvYy54bWysUk1v2zAMvRfYfxB0X5ykaJsZcXpI0F2G&#10;NkC7H6DIsi1AEgVSi5N/P0px033chvlAiyL5yPfE9ePJO3E0SBZCIxezuRQmaGht6Bv5/e3p80oK&#10;Siq0ykEwjTwbko+bTzfrMdZmCQO41qBgkED1GBs5pBTrqiI9GK9oBtEEDnaAXiV2sa9aVCOje1ct&#10;5/P7agRsI4I2RHy7uwTlpuB3ndHppevIJOEaybOlYrHYQ7bVZq3qHlUcrJ7GUP8whVc2cNMr1E4l&#10;JX6g/QvKW41A0KWZBl9B11ltCgdms5j/weZ1UNEULiwOxatM9P9g9fNxj8K2jbyVIijPT/SaUNl+&#10;SGILIbCAgOJ2lYUaI9Wcvw17nDyKe8ysTx36/Gc+4lTEPV/FNackNF/ePawW9w+8Dvo9Vn0URqT0&#10;1YAX+dBImka4TrAo4qrjN0rcmgvfC3LXAE/WufKSLoixkV/ulqtSQOBsm4M5jbA/bB2Ko8q7UL7M&#10;isF+S8vIO0XDJa+EpjQXODuLcKGdTwdoz0WNcs9vVPCmfcpL8Ktfqj+2fvMTAAD//wMAUEsDBBQA&#10;BgAIAAAAIQAJNX9x4AAAAAkBAAAPAAAAZHJzL2Rvd25yZXYueG1sTI/RSsNAEEXfBf9hmYIv0m6a&#10;isQ0m1LEQhGRWvsB02SahGRnw+6mjX69W3zQt5m5lzvnZqtRd+JM1jWGFcxnEQjiwpQNVwoOn5tp&#10;AsJ55BI7w6Tgixys8tubDNPSXPiDzntfiRDCLkUFtfd9KqUratLoZqYnDtrJWI0+rLaSpcVLCNed&#10;jKPoUWpsOHyosafnmop2P2gFW3w/7e4f2reNXbwcvoft2ravO6XuJuN6CcLT6P/McMUP6JAHpqMZ&#10;uHSiUzCdx4tgvQ6hUzAkT0kM4vh7kHkm/zfIfwAAAP//AwBQSwECLQAUAAYACAAAACEAtoM4kv4A&#10;AADhAQAAEwAAAAAAAAAAAAAAAAAAAAAAW0NvbnRlbnRfVHlwZXNdLnhtbFBLAQItABQABgAIAAAA&#10;IQA4/SH/1gAAAJQBAAALAAAAAAAAAAAAAAAAAC8BAABfcmVscy8ucmVsc1BLAQItABQABgAIAAAA&#10;IQDqZ3ioogEAAD0DAAAOAAAAAAAAAAAAAAAAAC4CAABkcnMvZTJvRG9jLnhtbFBLAQItABQABgAI&#10;AAAAIQAJNX9x4AAAAAkBAAAPAAAAAAAAAAAAAAAAAPwDAABkcnMvZG93bnJldi54bWxQSwUGAAAA&#10;AAQABADzAAAACQUAAAAA&#10;" strokeweight=".26467mm"/>
                  </w:pict>
                </mc:Fallback>
              </mc:AlternateContent>
            </w:r>
            <w:r>
              <w:rPr>
                <w:rFonts w:ascii="Times New Roman" w:eastAsia="Times New Roman" w:hAnsi="Times New Roman"/>
                <w:color w:val="000000"/>
                <w:sz w:val="24"/>
                <w:szCs w:val="24"/>
              </w:rPr>
              <w:t xml:space="preserve">P9 </w:t>
            </w:r>
            <w:r>
              <w:rPr>
                <w:rFonts w:ascii="Times New Roman" w:hAnsi="Times New Roman"/>
                <w:sz w:val="24"/>
                <w:szCs w:val="24"/>
              </w:rPr>
              <w:t>(1,5 gr/m3, 6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P10 </w:t>
            </w:r>
            <w:r>
              <w:rPr>
                <w:rFonts w:ascii="Times New Roman" w:hAnsi="Times New Roman"/>
                <w:sz w:val="24"/>
                <w:szCs w:val="24"/>
              </w:rPr>
              <w:t>(1,5 gr/m3, 12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P11 </w:t>
            </w:r>
            <w:r>
              <w:rPr>
                <w:rFonts w:ascii="Times New Roman" w:hAnsi="Times New Roman"/>
                <w:sz w:val="24"/>
                <w:szCs w:val="24"/>
              </w:rPr>
              <w:t>(1,5 gr/m3, 18 jam)</w:t>
            </w:r>
          </w:p>
          <w:p w:rsidR="000D6807" w:rsidRDefault="009B1448">
            <w:pPr>
              <w:autoSpaceDE w:val="0"/>
              <w:spacing w:after="0" w:line="240" w:lineRule="auto"/>
              <w:ind w:left="176"/>
            </w:pPr>
            <w:r>
              <w:rPr>
                <w:rFonts w:ascii="Times New Roman" w:eastAsia="Times New Roman" w:hAnsi="Times New Roman"/>
                <w:color w:val="000000"/>
                <w:sz w:val="24"/>
                <w:szCs w:val="24"/>
              </w:rPr>
              <w:t xml:space="preserve">P12 </w:t>
            </w:r>
            <w:r>
              <w:rPr>
                <w:rFonts w:ascii="Times New Roman" w:hAnsi="Times New Roman"/>
                <w:sz w:val="24"/>
                <w:szCs w:val="24"/>
              </w:rPr>
              <w:t>(1,5 gr/m3, 24 jam)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 b</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tc>
        <w:tc>
          <w:tcPr>
            <w:tcW w:w="25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0,00 c</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92,22 b</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98,89 ab</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p w:rsidR="000D6807" w:rsidRDefault="009B1448">
            <w:pPr>
              <w:autoSpaceDE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100,00 a</w:t>
            </w:r>
          </w:p>
        </w:tc>
      </w:tr>
    </w:tbl>
    <w:p w:rsidR="000D6807" w:rsidRDefault="009B1448">
      <w:pPr>
        <w:ind w:left="1276" w:hanging="1276"/>
        <w:jc w:val="both"/>
        <w:rPr>
          <w:rFonts w:ascii="Times New Roman" w:hAnsi="Times New Roman"/>
          <w:sz w:val="24"/>
          <w:szCs w:val="24"/>
        </w:rPr>
      </w:pPr>
      <w:r>
        <w:rPr>
          <w:rFonts w:ascii="Times New Roman" w:hAnsi="Times New Roman"/>
          <w:sz w:val="24"/>
          <w:szCs w:val="24"/>
        </w:rPr>
        <w:t>Keterangan: Angka yang diikuti huruf yang sama pada kolom yang sama menunjukkan nilai yang berbeda tidak nyata pada uji Duncan taraf 5 %.</w:t>
      </w:r>
    </w:p>
    <w:p w:rsidR="000D6807" w:rsidRDefault="009B1448">
      <w:pPr>
        <w:pStyle w:val="Default"/>
        <w:spacing w:line="360" w:lineRule="auto"/>
        <w:ind w:firstLine="567"/>
        <w:jc w:val="both"/>
      </w:pPr>
      <w:r>
        <w:t xml:space="preserve">Rata-rata persentase mortalitas pada larva </w:t>
      </w:r>
      <w:r>
        <w:rPr>
          <w:i/>
        </w:rPr>
        <w:t xml:space="preserve">T. castaneum </w:t>
      </w:r>
      <w:r>
        <w:t xml:space="preserve">menunjukkan 100% mortalitas pada semua ulangan di setiap perlakuan, kecuali pada perlakuan P0 (kontrol). Rata-rata persentase mortalitas imago </w:t>
      </w:r>
      <w:r>
        <w:rPr>
          <w:i/>
        </w:rPr>
        <w:t xml:space="preserve">T. castaneum </w:t>
      </w:r>
      <w:r>
        <w:t xml:space="preserve">sebesar 92,22%, P2 sebesar 98,89% dan perlakuan lainnya menunjukkan persentase mortalitas 100%. Hasil tersebut menunjukkan bahwa semakin besar jumlah dosis dan lama pemaparan fumigasi yang semakin lama dapat meningkatkan mortalitas serangga.    </w:t>
      </w:r>
    </w:p>
    <w:p w:rsidR="000D6807" w:rsidRDefault="009B1448">
      <w:pPr>
        <w:pStyle w:val="Default"/>
        <w:spacing w:line="360" w:lineRule="auto"/>
        <w:ind w:firstLine="567"/>
        <w:jc w:val="both"/>
      </w:pPr>
      <w:r>
        <w:t xml:space="preserve"> Fumigasi Phospine yang diaplikasikan untuk mengendalikan </w:t>
      </w:r>
      <w:r>
        <w:rPr>
          <w:i/>
        </w:rPr>
        <w:t xml:space="preserve">T. castaneum </w:t>
      </w:r>
      <w:r>
        <w:t xml:space="preserve">menunjukkan pengaruh berbeda nyata antar perlakuan V0 dengan perlakuan lainnya pada masing-masing stadia pada parameter serangga uji. Penelitian ini menunjukkan bahwa perlakuan fumigasi pada stadia larva </w:t>
      </w:r>
      <w:r>
        <w:rPr>
          <w:i/>
        </w:rPr>
        <w:t xml:space="preserve">T. castaneum </w:t>
      </w:r>
      <w:r>
        <w:t>memiliki persentase mortalitas sebesar 100%. Perlakuan fumigasi pada stadia larva dengan konsentrasi 132 ppm telah menunjukkan mortalitas 100%.</w:t>
      </w:r>
      <w:r>
        <w:rPr>
          <w:b/>
        </w:rPr>
        <w:t xml:space="preserve"> </w:t>
      </w:r>
      <w:r>
        <w:t xml:space="preserve">Hal ini menunjukkan bahwa fumigan phospine yang digunakan efektif untuk membunuh larva </w:t>
      </w:r>
      <w:r>
        <w:rPr>
          <w:i/>
        </w:rPr>
        <w:t>T. castaneum</w:t>
      </w:r>
      <w:r>
        <w:t xml:space="preserve">. Stadia larva dari serangga hama gudang memiliki tingkat kerentanan mortalitas yang lebih rentan jika dibandingkan dengan stadia yang lainnya </w:t>
      </w:r>
      <w:r>
        <w:lastRenderedPageBreak/>
        <w:t>(Ferrell, 1996).</w:t>
      </w:r>
      <w:r>
        <w:rPr>
          <w:b/>
        </w:rPr>
        <w:t xml:space="preserve"> </w:t>
      </w:r>
      <w:r>
        <w:t>Menurut Oktianty (2016), larva merupakan stadia yang aktif yang membutuhkan energi untuk digunakan pada tahap selanjutnya, sehingga apabila fumigasi dilakukan pada stadia larva maka dapat dipastikan akan membunuh secara efektif.</w:t>
      </w:r>
    </w:p>
    <w:p w:rsidR="000D6807" w:rsidRDefault="009B1448">
      <w:pPr>
        <w:pStyle w:val="Default"/>
        <w:spacing w:line="360" w:lineRule="auto"/>
        <w:ind w:firstLine="567"/>
        <w:jc w:val="both"/>
      </w:pPr>
      <w:r>
        <w:t xml:space="preserve">Perlakuan dengan konsentrasi phospine sebesar 132-222 ppm terhadap imago </w:t>
      </w:r>
      <w:r>
        <w:rPr>
          <w:i/>
        </w:rPr>
        <w:t xml:space="preserve">T. castaneum </w:t>
      </w:r>
      <w:r>
        <w:t xml:space="preserve">dengan dosis 0,5 gr/m3 dengan lama pemaparan fumigan 6 dan 12 jam menunjukkan tidak ada konsentrasi yang dapat menyebabkan mortalitas 100%. Lama pemaparan yang kurang dan tingkat konsentrasi Phospine yang perlu ditambah agar dapat mempengaruhi terhadap peningkatan persentase mortalitas imago </w:t>
      </w:r>
      <w:r>
        <w:rPr>
          <w:i/>
        </w:rPr>
        <w:t>T. castaneum</w:t>
      </w:r>
      <w:r>
        <w:t xml:space="preserve">. Aplikasi Phospine terhadap imago </w:t>
      </w:r>
      <w:r>
        <w:rPr>
          <w:i/>
        </w:rPr>
        <w:t xml:space="preserve">T. castaneum </w:t>
      </w:r>
      <w:r>
        <w:t xml:space="preserve">pada tepung gandum efektif dilakukan pada konsentrasi 285 ppm atau lebih. </w:t>
      </w:r>
    </w:p>
    <w:p w:rsidR="000D6807" w:rsidRDefault="009B1448">
      <w:pPr>
        <w:pStyle w:val="Default"/>
        <w:spacing w:line="360" w:lineRule="auto"/>
        <w:ind w:firstLine="567"/>
        <w:jc w:val="both"/>
      </w:pPr>
      <w:r>
        <w:t>Fumigasi phospine memberikan efek racun pernapasan dan racun syaraf pada serangga. Efek tersebut bereaksi dengan cepat pada stadia larva dan imago, namun bereaksi lambat pada stadia pupa dan telur. Menurut Bond (2006), fumigasi masuk ke dalam tubuh serangga terutama dengan melalui sistem pernapasan. Jalan masuk ke dalam tubuh serangga pada stadia larva, pupa dan imago adalah melalui spirakel, yang terdapat pada bagian lateral serangga. Membuka dan menutupnya spirakel serangga berada di bawah kendali otot sehingga peracunan terhadap serangga oleh fumigan dipengaruhi oleh laju respirasi pada serangga. Racun pernapasan menghambat proses respirasi sel, yaitu menghambat fungsi enzim sitokrom c oksidase pada rantai transpor elektron dalam mitokondria yang mengakibatkan terjadinya fosforilase oksidatif dan mengurangi produksi ATP. Penghambatan ATP mengakibatkan sel kekurangan energi sehingga prose dalam sel terhambat, terjadi kerusakan jaringan dan organisme yang keracunan akan mati (SEAMEO BIOTROP, 2012). Racun saraf memiliki prinsip memblokade penyaluran impuls saraf dengan cara mengikat enzim asetilkholinesterase sehingga tidak terjadi proses hidrolisis asetilkholin (Raini, 2007).</w:t>
      </w:r>
    </w:p>
    <w:p w:rsidR="000D6807" w:rsidRDefault="009B1448">
      <w:pPr>
        <w:pStyle w:val="Default"/>
        <w:spacing w:after="240" w:line="360" w:lineRule="auto"/>
        <w:ind w:firstLine="567"/>
        <w:jc w:val="both"/>
      </w:pPr>
      <w:r>
        <w:t xml:space="preserve">Serangga yang terpapar oleh fumigasi menunjukkan gejala awal agitasi atau hiperaktif yang diikuti oleh kelesuan, penurunan metabolik dan peningkatan stres oksidatif (Nath, 2011). Hasil penelitian menunjukkan bahwa, stadia larva yang mati menunjukkan ciri kaku, perubahan warna  menjadi cokelat hingga hitam. Stadia pupa yang mati menunjukkan perubahan warna menjadi cokelat tua pada setiap ruas tubuh serangga dan bentuk tubuh lebih pipih sedangkan imago yang mati memiliki ciri tubuh kaku dengan posisi tungkai melipat ke arah dalam tubuh. </w:t>
      </w:r>
    </w:p>
    <w:p w:rsidR="000D6807" w:rsidRDefault="009B1448">
      <w:pPr>
        <w:pStyle w:val="Default"/>
        <w:spacing w:after="120"/>
        <w:ind w:left="709" w:hanging="709"/>
        <w:jc w:val="both"/>
      </w:pPr>
      <w:r>
        <w:rPr>
          <w:b/>
        </w:rPr>
        <w:t xml:space="preserve">2. </w:t>
      </w:r>
      <w:r>
        <w:rPr>
          <w:b/>
          <w:color w:val="auto"/>
        </w:rPr>
        <w:t>Persentase Pupa Menjadi Imago</w:t>
      </w:r>
    </w:p>
    <w:p w:rsidR="000D6807" w:rsidRDefault="009B1448">
      <w:pPr>
        <w:pStyle w:val="Default"/>
        <w:spacing w:line="360" w:lineRule="auto"/>
        <w:ind w:firstLine="567"/>
        <w:jc w:val="both"/>
      </w:pPr>
      <w:r>
        <w:t xml:space="preserve">Pengamatan ini dilakukan selama 30 hari, dengan tujuan untuk melihat pengaruh akibat paparan fumigasi terhadap pupa </w:t>
      </w:r>
      <w:r>
        <w:rPr>
          <w:i/>
        </w:rPr>
        <w:t xml:space="preserve">T. castaneum, </w:t>
      </w:r>
      <w:r>
        <w:t xml:space="preserve">sehingga dapat disimpulkan bahwa pupa yang </w:t>
      </w:r>
      <w:r>
        <w:lastRenderedPageBreak/>
        <w:t xml:space="preserve">mengalami kematian adalah pupa yang tidak berhasil menjadi imago. </w:t>
      </w:r>
      <w:r>
        <w:rPr>
          <w:color w:val="auto"/>
        </w:rPr>
        <w:t xml:space="preserve">Berdasarkan pada hasil pengamatan diperoleh hasil bahwa fumigasi phospine berpengaruh nyata dalam menghambat kemampuan serangga </w:t>
      </w:r>
      <w:r>
        <w:rPr>
          <w:i/>
        </w:rPr>
        <w:t>T. castaneum</w:t>
      </w:r>
      <w:r>
        <w:t xml:space="preserve"> pada stadia </w:t>
      </w:r>
      <w:r>
        <w:rPr>
          <w:color w:val="auto"/>
        </w:rPr>
        <w:t xml:space="preserve">pupa menjadi imago. Hasil menunjukkan bahwa perlakuan kontrol berbeda nyata dengan perlakuan lain. </w:t>
      </w:r>
    </w:p>
    <w:p w:rsidR="000D6807" w:rsidRDefault="009B1448">
      <w:pPr>
        <w:spacing w:after="0" w:line="360" w:lineRule="auto"/>
        <w:jc w:val="both"/>
        <w:rPr>
          <w:rFonts w:ascii="Times New Roman" w:hAnsi="Times New Roman"/>
          <w:sz w:val="24"/>
          <w:szCs w:val="24"/>
        </w:rPr>
      </w:pPr>
      <w:r>
        <w:rPr>
          <w:rFonts w:ascii="Times New Roman" w:hAnsi="Times New Roman"/>
          <w:sz w:val="24"/>
          <w:szCs w:val="24"/>
        </w:rPr>
        <w:t xml:space="preserve">  Tabel 2. Persentase Pupa Menjadi Imago</w:t>
      </w:r>
    </w:p>
    <w:tbl>
      <w:tblPr>
        <w:tblW w:w="7196" w:type="dxa"/>
        <w:jc w:val="center"/>
        <w:tblCellMar>
          <w:left w:w="10" w:type="dxa"/>
          <w:right w:w="10" w:type="dxa"/>
        </w:tblCellMar>
        <w:tblLook w:val="04A0" w:firstRow="1" w:lastRow="0" w:firstColumn="1" w:lastColumn="0" w:noHBand="0" w:noVBand="1"/>
      </w:tblPr>
      <w:tblGrid>
        <w:gridCol w:w="2838"/>
        <w:gridCol w:w="4358"/>
      </w:tblGrid>
      <w:tr w:rsidR="000D6807">
        <w:trPr>
          <w:jc w:val="center"/>
        </w:trPr>
        <w:tc>
          <w:tcPr>
            <w:tcW w:w="2838" w:type="dxa"/>
            <w:tcBorders>
              <w:top w:val="single" w:sz="4" w:space="0" w:color="000000"/>
              <w:bottom w:val="single" w:sz="4" w:space="0" w:color="000000"/>
            </w:tcBorders>
            <w:shd w:val="clear" w:color="auto" w:fill="auto"/>
            <w:tcMar>
              <w:top w:w="0" w:type="dxa"/>
              <w:left w:w="108" w:type="dxa"/>
              <w:bottom w:w="0" w:type="dxa"/>
              <w:right w:w="108" w:type="dxa"/>
            </w:tcMar>
          </w:tcPr>
          <w:p w:rsidR="000D6807" w:rsidRDefault="009B1448">
            <w:pPr>
              <w:pStyle w:val="Default"/>
              <w:jc w:val="center"/>
            </w:pPr>
            <w:r>
              <w:t>Perlakuan Dosis</w:t>
            </w:r>
          </w:p>
        </w:tc>
        <w:tc>
          <w:tcPr>
            <w:tcW w:w="4358" w:type="dxa"/>
            <w:tcBorders>
              <w:top w:val="single" w:sz="4" w:space="0" w:color="000000"/>
              <w:bottom w:val="single" w:sz="4" w:space="0" w:color="000000"/>
            </w:tcBorders>
            <w:shd w:val="clear" w:color="auto" w:fill="auto"/>
            <w:tcMar>
              <w:top w:w="0" w:type="dxa"/>
              <w:left w:w="108" w:type="dxa"/>
              <w:bottom w:w="0" w:type="dxa"/>
              <w:right w:w="108" w:type="dxa"/>
            </w:tcMar>
          </w:tcPr>
          <w:p w:rsidR="000D6807" w:rsidRDefault="009B1448">
            <w:pPr>
              <w:pStyle w:val="Default"/>
              <w:jc w:val="center"/>
            </w:pPr>
            <w:r>
              <w:t>Pupa Menjadi Imago (%)</w:t>
            </w:r>
          </w:p>
        </w:tc>
      </w:tr>
      <w:tr w:rsidR="000D6807">
        <w:trPr>
          <w:jc w:val="center"/>
        </w:trPr>
        <w:tc>
          <w:tcPr>
            <w:tcW w:w="2838" w:type="dxa"/>
            <w:tcBorders>
              <w:top w:val="single" w:sz="4" w:space="0" w:color="000000"/>
            </w:tcBorders>
            <w:shd w:val="clear" w:color="auto" w:fill="auto"/>
            <w:tcMar>
              <w:top w:w="0" w:type="dxa"/>
              <w:left w:w="108" w:type="dxa"/>
              <w:bottom w:w="0" w:type="dxa"/>
              <w:right w:w="108" w:type="dxa"/>
            </w:tcMar>
          </w:tcPr>
          <w:p w:rsidR="000D6807" w:rsidRDefault="009B1448">
            <w:pPr>
              <w:pStyle w:val="Default"/>
            </w:pPr>
            <w:r>
              <w:t>P0 (Kontrol)</w:t>
            </w:r>
          </w:p>
        </w:tc>
        <w:tc>
          <w:tcPr>
            <w:tcW w:w="4358" w:type="dxa"/>
            <w:tcBorders>
              <w:top w:val="single" w:sz="4" w:space="0" w:color="000000"/>
            </w:tcBorders>
            <w:shd w:val="clear" w:color="auto" w:fill="auto"/>
            <w:tcMar>
              <w:top w:w="0" w:type="dxa"/>
              <w:left w:w="108" w:type="dxa"/>
              <w:bottom w:w="0" w:type="dxa"/>
              <w:right w:w="108" w:type="dxa"/>
            </w:tcMar>
          </w:tcPr>
          <w:p w:rsidR="000D6807" w:rsidRDefault="009B1448">
            <w:pPr>
              <w:pStyle w:val="Default"/>
              <w:jc w:val="center"/>
            </w:pPr>
            <w:r>
              <w:t>89,74 a</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P1 (0,5 gr/m3, 6 jam)</w:t>
            </w:r>
          </w:p>
        </w:tc>
        <w:tc>
          <w:tcPr>
            <w:tcW w:w="4358" w:type="dxa"/>
            <w:shd w:val="clear" w:color="auto" w:fill="auto"/>
            <w:tcMar>
              <w:top w:w="0" w:type="dxa"/>
              <w:left w:w="108" w:type="dxa"/>
              <w:bottom w:w="0" w:type="dxa"/>
              <w:right w:w="108" w:type="dxa"/>
            </w:tcMar>
          </w:tcPr>
          <w:p w:rsidR="000D6807" w:rsidRDefault="009B1448">
            <w:pPr>
              <w:pStyle w:val="Default"/>
              <w:jc w:val="center"/>
            </w:pPr>
            <w:r>
              <w:t>39,23 b</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P2 (0,5 gr/m3, 12 jam)</w:t>
            </w:r>
          </w:p>
        </w:tc>
        <w:tc>
          <w:tcPr>
            <w:tcW w:w="4358" w:type="dxa"/>
            <w:shd w:val="clear" w:color="auto" w:fill="auto"/>
            <w:tcMar>
              <w:top w:w="0" w:type="dxa"/>
              <w:left w:w="108" w:type="dxa"/>
              <w:bottom w:w="0" w:type="dxa"/>
              <w:right w:w="108" w:type="dxa"/>
            </w:tcMar>
          </w:tcPr>
          <w:p w:rsidR="000D6807" w:rsidRDefault="009B1448">
            <w:pPr>
              <w:pStyle w:val="Default"/>
              <w:jc w:val="center"/>
            </w:pPr>
            <w:r>
              <w:t>28,17 bc</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P3 (0,5 gr/m3, 18 jam)</w:t>
            </w:r>
          </w:p>
        </w:tc>
        <w:tc>
          <w:tcPr>
            <w:tcW w:w="4358" w:type="dxa"/>
            <w:shd w:val="clear" w:color="auto" w:fill="auto"/>
            <w:tcMar>
              <w:top w:w="0" w:type="dxa"/>
              <w:left w:w="108" w:type="dxa"/>
              <w:bottom w:w="0" w:type="dxa"/>
              <w:right w:w="108" w:type="dxa"/>
            </w:tcMar>
          </w:tcPr>
          <w:p w:rsidR="000D6807" w:rsidRDefault="009B1448">
            <w:pPr>
              <w:pStyle w:val="Default"/>
              <w:jc w:val="center"/>
            </w:pPr>
            <w:r>
              <w:t>17,31 cde</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P4 (0,5 gr/m3, 24 jam)</w:t>
            </w:r>
          </w:p>
        </w:tc>
        <w:tc>
          <w:tcPr>
            <w:tcW w:w="4358" w:type="dxa"/>
            <w:shd w:val="clear" w:color="auto" w:fill="auto"/>
            <w:tcMar>
              <w:top w:w="0" w:type="dxa"/>
              <w:left w:w="108" w:type="dxa"/>
              <w:bottom w:w="0" w:type="dxa"/>
              <w:right w:w="108" w:type="dxa"/>
            </w:tcMar>
          </w:tcPr>
          <w:p w:rsidR="000D6807" w:rsidRDefault="009B1448">
            <w:pPr>
              <w:pStyle w:val="Default"/>
              <w:jc w:val="center"/>
            </w:pPr>
            <w:r>
              <w:t>13,27 cdef</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P5 (1 gr/m3, 6 jam)</w:t>
            </w:r>
          </w:p>
        </w:tc>
        <w:tc>
          <w:tcPr>
            <w:tcW w:w="4358" w:type="dxa"/>
            <w:shd w:val="clear" w:color="auto" w:fill="auto"/>
            <w:tcMar>
              <w:top w:w="0" w:type="dxa"/>
              <w:left w:w="108" w:type="dxa"/>
              <w:bottom w:w="0" w:type="dxa"/>
              <w:right w:w="108" w:type="dxa"/>
            </w:tcMar>
          </w:tcPr>
          <w:p w:rsidR="000D6807" w:rsidRDefault="009B1448">
            <w:pPr>
              <w:pStyle w:val="Default"/>
              <w:jc w:val="center"/>
            </w:pPr>
            <w:r>
              <w:t>28,07 bcd</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P6 (1 gr/m3, 12 jam)</w:t>
            </w:r>
          </w:p>
        </w:tc>
        <w:tc>
          <w:tcPr>
            <w:tcW w:w="4358" w:type="dxa"/>
            <w:shd w:val="clear" w:color="auto" w:fill="auto"/>
            <w:tcMar>
              <w:top w:w="0" w:type="dxa"/>
              <w:left w:w="108" w:type="dxa"/>
              <w:bottom w:w="0" w:type="dxa"/>
              <w:right w:w="108" w:type="dxa"/>
            </w:tcMar>
          </w:tcPr>
          <w:p w:rsidR="000D6807" w:rsidRDefault="009B1448">
            <w:pPr>
              <w:pStyle w:val="Default"/>
              <w:jc w:val="center"/>
            </w:pPr>
            <w:r>
              <w:t>0,29 g</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P7 (1 gr/m3, 18 jam)</w:t>
            </w:r>
          </w:p>
        </w:tc>
        <w:tc>
          <w:tcPr>
            <w:tcW w:w="4358" w:type="dxa"/>
            <w:shd w:val="clear" w:color="auto" w:fill="auto"/>
            <w:tcMar>
              <w:top w:w="0" w:type="dxa"/>
              <w:left w:w="108" w:type="dxa"/>
              <w:bottom w:w="0" w:type="dxa"/>
              <w:right w:w="108" w:type="dxa"/>
            </w:tcMar>
          </w:tcPr>
          <w:p w:rsidR="000D6807" w:rsidRDefault="009B1448">
            <w:pPr>
              <w:pStyle w:val="Default"/>
              <w:jc w:val="center"/>
            </w:pPr>
            <w:r>
              <w:t>0,29 g</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P8 (1 gr/m3, 24 jam)</w:t>
            </w:r>
          </w:p>
        </w:tc>
        <w:tc>
          <w:tcPr>
            <w:tcW w:w="4358" w:type="dxa"/>
            <w:shd w:val="clear" w:color="auto" w:fill="auto"/>
            <w:tcMar>
              <w:top w:w="0" w:type="dxa"/>
              <w:left w:w="108" w:type="dxa"/>
              <w:bottom w:w="0" w:type="dxa"/>
              <w:right w:w="108" w:type="dxa"/>
            </w:tcMar>
          </w:tcPr>
          <w:p w:rsidR="000D6807" w:rsidRDefault="009B1448">
            <w:pPr>
              <w:pStyle w:val="Default"/>
              <w:jc w:val="center"/>
            </w:pPr>
            <w:r>
              <w:t>0,29 g</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P9 (1,5 gr/m3, 6 jam)</w:t>
            </w:r>
          </w:p>
        </w:tc>
        <w:tc>
          <w:tcPr>
            <w:tcW w:w="4358" w:type="dxa"/>
            <w:shd w:val="clear" w:color="auto" w:fill="auto"/>
            <w:tcMar>
              <w:top w:w="0" w:type="dxa"/>
              <w:left w:w="108" w:type="dxa"/>
              <w:bottom w:w="0" w:type="dxa"/>
              <w:right w:w="108" w:type="dxa"/>
            </w:tcMar>
          </w:tcPr>
          <w:p w:rsidR="000D6807" w:rsidRDefault="009B1448">
            <w:pPr>
              <w:pStyle w:val="Default"/>
              <w:jc w:val="center"/>
            </w:pPr>
            <w:r>
              <w:t>6,34 efg</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P10 (1,5 gr/m3, 12 jam)</w:t>
            </w:r>
          </w:p>
        </w:tc>
        <w:tc>
          <w:tcPr>
            <w:tcW w:w="4358" w:type="dxa"/>
            <w:shd w:val="clear" w:color="auto" w:fill="auto"/>
            <w:tcMar>
              <w:top w:w="0" w:type="dxa"/>
              <w:left w:w="108" w:type="dxa"/>
              <w:bottom w:w="0" w:type="dxa"/>
              <w:right w:w="108" w:type="dxa"/>
            </w:tcMar>
          </w:tcPr>
          <w:p w:rsidR="000D6807" w:rsidRDefault="009B1448">
            <w:pPr>
              <w:pStyle w:val="Default"/>
              <w:jc w:val="center"/>
            </w:pPr>
            <w:r>
              <w:t xml:space="preserve">0,29 g </w:t>
            </w:r>
          </w:p>
        </w:tc>
      </w:tr>
      <w:tr w:rsidR="000D6807">
        <w:trPr>
          <w:jc w:val="center"/>
        </w:trPr>
        <w:tc>
          <w:tcPr>
            <w:tcW w:w="2838" w:type="dxa"/>
            <w:shd w:val="clear" w:color="auto" w:fill="auto"/>
            <w:tcMar>
              <w:top w:w="0" w:type="dxa"/>
              <w:left w:w="108" w:type="dxa"/>
              <w:bottom w:w="0" w:type="dxa"/>
              <w:right w:w="108" w:type="dxa"/>
            </w:tcMar>
          </w:tcPr>
          <w:p w:rsidR="000D6807" w:rsidRDefault="009B1448">
            <w:pPr>
              <w:pStyle w:val="Default"/>
            </w:pPr>
            <w:r>
              <w:t>P11 (1,5 gr/m3, 18 jam)</w:t>
            </w:r>
          </w:p>
        </w:tc>
        <w:tc>
          <w:tcPr>
            <w:tcW w:w="4358" w:type="dxa"/>
            <w:shd w:val="clear" w:color="auto" w:fill="auto"/>
            <w:tcMar>
              <w:top w:w="0" w:type="dxa"/>
              <w:left w:w="108" w:type="dxa"/>
              <w:bottom w:w="0" w:type="dxa"/>
              <w:right w:w="108" w:type="dxa"/>
            </w:tcMar>
          </w:tcPr>
          <w:p w:rsidR="000D6807" w:rsidRDefault="009B1448">
            <w:pPr>
              <w:pStyle w:val="Default"/>
              <w:jc w:val="center"/>
            </w:pPr>
            <w:r>
              <w:t>0,29 g</w:t>
            </w:r>
          </w:p>
        </w:tc>
      </w:tr>
      <w:tr w:rsidR="000D6807">
        <w:trPr>
          <w:jc w:val="center"/>
        </w:trPr>
        <w:tc>
          <w:tcPr>
            <w:tcW w:w="2838" w:type="dxa"/>
            <w:tcBorders>
              <w:bottom w:val="single" w:sz="4" w:space="0" w:color="000000"/>
            </w:tcBorders>
            <w:shd w:val="clear" w:color="auto" w:fill="auto"/>
            <w:tcMar>
              <w:top w:w="0" w:type="dxa"/>
              <w:left w:w="108" w:type="dxa"/>
              <w:bottom w:w="0" w:type="dxa"/>
              <w:right w:w="108" w:type="dxa"/>
            </w:tcMar>
          </w:tcPr>
          <w:p w:rsidR="000D6807" w:rsidRDefault="009B1448">
            <w:pPr>
              <w:pStyle w:val="Default"/>
            </w:pPr>
            <w:r>
              <w:t>P12 (1,5 gr/m3, 24 jam)</w:t>
            </w:r>
          </w:p>
        </w:tc>
        <w:tc>
          <w:tcPr>
            <w:tcW w:w="4358" w:type="dxa"/>
            <w:tcBorders>
              <w:bottom w:val="single" w:sz="4" w:space="0" w:color="000000"/>
            </w:tcBorders>
            <w:shd w:val="clear" w:color="auto" w:fill="auto"/>
            <w:tcMar>
              <w:top w:w="0" w:type="dxa"/>
              <w:left w:w="108" w:type="dxa"/>
              <w:bottom w:w="0" w:type="dxa"/>
              <w:right w:w="108" w:type="dxa"/>
            </w:tcMar>
          </w:tcPr>
          <w:p w:rsidR="000D6807" w:rsidRDefault="009B1448">
            <w:pPr>
              <w:pStyle w:val="Default"/>
              <w:jc w:val="center"/>
            </w:pPr>
            <w:r>
              <w:t>0,29 g</w:t>
            </w:r>
          </w:p>
        </w:tc>
      </w:tr>
    </w:tbl>
    <w:p w:rsidR="000D6807" w:rsidRDefault="009B1448">
      <w:pPr>
        <w:spacing w:line="240" w:lineRule="auto"/>
        <w:ind w:left="1276" w:hanging="1276"/>
        <w:jc w:val="both"/>
        <w:rPr>
          <w:rFonts w:ascii="Times New Roman" w:hAnsi="Times New Roman"/>
          <w:sz w:val="24"/>
          <w:szCs w:val="24"/>
        </w:rPr>
      </w:pPr>
      <w:r>
        <w:rPr>
          <w:rFonts w:ascii="Times New Roman" w:hAnsi="Times New Roman"/>
          <w:sz w:val="24"/>
          <w:szCs w:val="24"/>
        </w:rPr>
        <w:t>Keterangan: Angka yang diikuti oleh huruf yang sama pada kolom sama   menunjukkan nilai yang berbeda tidak nyata pada uji Duncan taraf 5%.</w:t>
      </w:r>
    </w:p>
    <w:p w:rsidR="000D6807" w:rsidRDefault="009B1448">
      <w:pPr>
        <w:pStyle w:val="Default"/>
        <w:spacing w:line="360" w:lineRule="auto"/>
        <w:ind w:firstLine="850"/>
        <w:jc w:val="both"/>
      </w:pPr>
      <w:r>
        <w:t xml:space="preserve">Berdasarkan pada hasil penelitian, terdapat beberapa pupa yang dapat berubah menjadi imago. Hal ini menunjukkan bahwa dalam melaksanakan tindakan perlakuan fumigasi perlu memperhatikan tingkat konsentrasi dengan benar, agar pelaksanaan fumigasi dapat efektif membunuh serangga hama gudang. Konsentrasi minimal yang dibutuhkan untuk mencapai mortalitas pupa 100% adalah sebesar 404 ppm (Grafik 4.2). Konsentrasi diperoleh dari perlakuan dosis 1 gr/m3 dengan lama pemaparan fumigasi 12 jam.  Konsentrasi tersebut lebih tinggi dibanding dengan konsentrasi yang dibutuhkan untuk mencapai mortalitas 100% pada stadia larva dan imago </w:t>
      </w:r>
      <w:r>
        <w:rPr>
          <w:i/>
        </w:rPr>
        <w:t>T. castaneum.</w:t>
      </w:r>
      <w:r>
        <w:t xml:space="preserve"> Menurut Rachman (2015), hal tersebut disebabkan kurangnya lama pemaparan dan tingkat konsentrasi Phospine yang perlu ditambah agar dapat mempengaruhi terhadap peningkatan persentase mortalitas pupa </w:t>
      </w:r>
      <w:r>
        <w:rPr>
          <w:i/>
        </w:rPr>
        <w:t xml:space="preserve">T. castaneum. </w:t>
      </w:r>
      <w:r>
        <w:t xml:space="preserve">Tingkat konsentrasi gas phospine yang semakin tinggi maka semakin cepat mematikan 100% </w:t>
      </w:r>
      <w:r>
        <w:rPr>
          <w:i/>
        </w:rPr>
        <w:t xml:space="preserve">T. castaneum, </w:t>
      </w:r>
      <w:r>
        <w:t>pernyataan ini didukung oleh Dewi (2010), yang menyatakan bahwa konsentrasi yang lebih tinggi maka semakin tinggi pula pengaruh yang ditimbulkan, selain itu daya kerja suatu senyawa sangat ditentukan oleh besarnya suatu konsentrasi.</w:t>
      </w:r>
      <w:r>
        <w:rPr>
          <w:i/>
        </w:rPr>
        <w:t>.</w:t>
      </w:r>
      <w:r>
        <w:t xml:space="preserve"> Menurut Baratan (2007), dosis standar fumigasi dengan menggunakan bahan aktif phospine dengan bentuk formulasi padat adalah 1 gr/m3 yang setara dengan 730 ppm. </w:t>
      </w:r>
    </w:p>
    <w:p w:rsidR="000D6807" w:rsidRDefault="009B1448">
      <w:pPr>
        <w:pStyle w:val="Default"/>
        <w:spacing w:line="360" w:lineRule="auto"/>
        <w:ind w:firstLine="850"/>
        <w:jc w:val="both"/>
      </w:pPr>
      <w:r>
        <w:t xml:space="preserve">Terdapat beberapa faktor yang dapat mempengaruhi keefektifan fumigasi, salah satunya adalah keberagaman stadia serangga. Pupa dan telur merupakan perkembangan stadia </w:t>
      </w:r>
      <w:r>
        <w:lastRenderedPageBreak/>
        <w:t xml:space="preserve">yang sulit untuk dikendalikan dibandingkan dengan  stadia larva dan imago (Ferrel, 1996). Tingginya tingkat toleransi telur dan pupa terhadap phospine diakibatkan oleh berkurangnya aktivitas metabolik. Penurunan laju respirasi pada stadia pupa mengakibatkan penurunan dalam penyerapan fumigan yang berakibat pada tingginya tingkat toleransi serangga terhadap </w:t>
      </w:r>
    </w:p>
    <w:p w:rsidR="000D6807" w:rsidRDefault="009B1448">
      <w:pPr>
        <w:pStyle w:val="Default"/>
        <w:spacing w:line="360" w:lineRule="auto"/>
        <w:jc w:val="both"/>
      </w:pPr>
      <w:r>
        <w:t xml:space="preserve">fumigan. Menurut Oktianty (2016), stadium pupa merupakan tahap berpuasa bagi serangga, sehingga pupa memiliki tingkat metabolisme yang lebih rendah dibandingkan pada stadia lainnya. Hal ini akan mempengaruhi konsentrasi fumigan untuk masuk ke dalam pupa. Penyerapan gas Phospine oleh serangga dapat bervariasi, yang dapat disebabkan oleh perbedaan antar spesies dan stadia serangga (Bond, 1984). </w:t>
      </w:r>
    </w:p>
    <w:p w:rsidR="000D6807" w:rsidRDefault="009B1448">
      <w:pPr>
        <w:spacing w:before="240" w:after="0" w:line="360" w:lineRule="auto"/>
        <w:jc w:val="both"/>
        <w:rPr>
          <w:rFonts w:ascii="Times New Roman" w:hAnsi="Times New Roman"/>
          <w:b/>
          <w:sz w:val="24"/>
          <w:szCs w:val="24"/>
        </w:rPr>
      </w:pPr>
      <w:r>
        <w:rPr>
          <w:rFonts w:ascii="Times New Roman" w:hAnsi="Times New Roman"/>
          <w:b/>
          <w:sz w:val="24"/>
          <w:szCs w:val="24"/>
        </w:rPr>
        <w:t xml:space="preserve">KESIMPULAN </w:t>
      </w:r>
    </w:p>
    <w:p w:rsidR="000D6807" w:rsidRDefault="009B1448">
      <w:pPr>
        <w:spacing w:after="0" w:line="360" w:lineRule="auto"/>
        <w:jc w:val="both"/>
        <w:rPr>
          <w:rFonts w:ascii="Times New Roman" w:hAnsi="Times New Roman"/>
          <w:sz w:val="24"/>
          <w:szCs w:val="24"/>
        </w:rPr>
      </w:pPr>
      <w:r>
        <w:rPr>
          <w:rFonts w:ascii="Times New Roman" w:hAnsi="Times New Roman"/>
          <w:sz w:val="24"/>
          <w:szCs w:val="24"/>
        </w:rPr>
        <w:t>Berdasarkan hasil penelitian yang dilakukan dapat diambil suatu kesimpulan yaitu:</w:t>
      </w:r>
    </w:p>
    <w:p w:rsidR="000D6807" w:rsidRDefault="009B1448">
      <w:pPr>
        <w:pStyle w:val="ListParagraph"/>
        <w:numPr>
          <w:ilvl w:val="0"/>
          <w:numId w:val="2"/>
        </w:numPr>
        <w:spacing w:line="360" w:lineRule="auto"/>
        <w:jc w:val="both"/>
        <w:textAlignment w:val="auto"/>
        <w:rPr>
          <w:sz w:val="24"/>
          <w:szCs w:val="24"/>
        </w:rPr>
      </w:pPr>
      <w:r>
        <w:rPr>
          <w:sz w:val="24"/>
          <w:szCs w:val="24"/>
        </w:rPr>
        <w:t>Mortalitas 100% pada kedua stadia dicapai pada dosis perlakuan 1 gr/m3 dan 1,5 g/m3 dengan lama pemaparan 12, 18 dan 24 jam.</w:t>
      </w:r>
    </w:p>
    <w:p w:rsidR="000D6807" w:rsidRDefault="009B1448">
      <w:pPr>
        <w:pStyle w:val="ListParagraph"/>
        <w:numPr>
          <w:ilvl w:val="0"/>
          <w:numId w:val="2"/>
        </w:numPr>
        <w:spacing w:after="240" w:line="360" w:lineRule="auto"/>
        <w:jc w:val="both"/>
      </w:pPr>
      <w:r>
        <w:rPr>
          <w:sz w:val="24"/>
          <w:szCs w:val="24"/>
        </w:rPr>
        <w:t>Dosis dan lama pemaparan fumigasi phospine berpengaruh nyata terhadap kemampuan pupa menjadi imago. Persentase 0% dicapai pada dosis perlakuan 1 gr/m3 dan 1,5 g/m3 dengan lama pemaparan 12, 18 dan 24 jam.</w:t>
      </w:r>
    </w:p>
    <w:p w:rsidR="000D6807" w:rsidRDefault="009B1448">
      <w:pPr>
        <w:spacing w:line="360" w:lineRule="auto"/>
        <w:jc w:val="both"/>
        <w:rPr>
          <w:rFonts w:ascii="Times New Roman" w:hAnsi="Times New Roman"/>
          <w:b/>
          <w:sz w:val="24"/>
          <w:szCs w:val="24"/>
        </w:rPr>
      </w:pPr>
      <w:r>
        <w:rPr>
          <w:rFonts w:ascii="Times New Roman" w:hAnsi="Times New Roman"/>
          <w:b/>
          <w:sz w:val="24"/>
          <w:szCs w:val="24"/>
        </w:rPr>
        <w:t>DAFTAR PUSTAKA</w:t>
      </w:r>
    </w:p>
    <w:p w:rsidR="000D6807" w:rsidRDefault="009B1448">
      <w:pPr>
        <w:pStyle w:val="ListParagraph"/>
        <w:spacing w:after="300"/>
        <w:ind w:left="567" w:hanging="567"/>
        <w:jc w:val="both"/>
      </w:pPr>
      <w:r>
        <w:rPr>
          <w:sz w:val="24"/>
          <w:szCs w:val="24"/>
        </w:rPr>
        <w:t xml:space="preserve">Abo, O and Edoreh, J. 2014. An Evaluation of Infestation of Insect of Flours in Benin City, Edo State, Nigeria. </w:t>
      </w:r>
      <w:r>
        <w:rPr>
          <w:i/>
          <w:sz w:val="24"/>
          <w:szCs w:val="24"/>
        </w:rPr>
        <w:t>Scient Environment</w:t>
      </w:r>
      <w:r>
        <w:rPr>
          <w:sz w:val="24"/>
          <w:szCs w:val="24"/>
        </w:rPr>
        <w:t>, 18(3): 487-494.</w:t>
      </w:r>
    </w:p>
    <w:p w:rsidR="000D6807" w:rsidRDefault="009B1448">
      <w:pPr>
        <w:pStyle w:val="ListParagraph"/>
        <w:spacing w:after="300"/>
        <w:ind w:left="567" w:hanging="567"/>
        <w:jc w:val="both"/>
      </w:pPr>
      <w:r>
        <w:rPr>
          <w:sz w:val="24"/>
          <w:szCs w:val="24"/>
        </w:rPr>
        <w:t>Apriliyanto, E., dan Rr. M. P. Ariabawani. 2017.  Uji Keefektifan Ekstrak Gulma Siam (</w:t>
      </w:r>
      <w:r>
        <w:rPr>
          <w:i/>
          <w:sz w:val="24"/>
          <w:szCs w:val="24"/>
        </w:rPr>
        <w:t>Chromolaena odorata</w:t>
      </w:r>
      <w:r>
        <w:rPr>
          <w:sz w:val="24"/>
          <w:szCs w:val="24"/>
        </w:rPr>
        <w:t>) terhadap Mortalitas dan Perkembangan Kutu Daun (</w:t>
      </w:r>
      <w:r>
        <w:rPr>
          <w:i/>
          <w:sz w:val="24"/>
          <w:szCs w:val="24"/>
        </w:rPr>
        <w:t>Aphis craccivora</w:t>
      </w:r>
      <w:r>
        <w:rPr>
          <w:sz w:val="24"/>
          <w:szCs w:val="24"/>
        </w:rPr>
        <w:t xml:space="preserve">) Tanaman Kacang Panjang. </w:t>
      </w:r>
      <w:r>
        <w:rPr>
          <w:i/>
          <w:sz w:val="24"/>
          <w:szCs w:val="24"/>
        </w:rPr>
        <w:t>Agritech</w:t>
      </w:r>
      <w:r>
        <w:rPr>
          <w:sz w:val="24"/>
          <w:szCs w:val="24"/>
        </w:rPr>
        <w:t>, 15(1): 35-44.</w:t>
      </w:r>
    </w:p>
    <w:p w:rsidR="000D6807" w:rsidRDefault="009B1448">
      <w:pPr>
        <w:pStyle w:val="ListParagraph"/>
        <w:spacing w:after="300"/>
        <w:ind w:left="567" w:hanging="567"/>
        <w:jc w:val="both"/>
        <w:rPr>
          <w:sz w:val="24"/>
          <w:szCs w:val="24"/>
        </w:rPr>
      </w:pPr>
      <w:r>
        <w:rPr>
          <w:sz w:val="24"/>
          <w:szCs w:val="24"/>
        </w:rPr>
        <w:t>Barantan Phospine untuk Perlakuan Karantina Tumbuhan. 2007. Badan Karantinan Tumbuhan Pertanian.</w:t>
      </w:r>
    </w:p>
    <w:p w:rsidR="000D6807" w:rsidRDefault="009B1448">
      <w:pPr>
        <w:pStyle w:val="ListParagraph"/>
        <w:spacing w:after="300"/>
        <w:ind w:left="567" w:hanging="567"/>
        <w:jc w:val="both"/>
        <w:rPr>
          <w:sz w:val="24"/>
          <w:szCs w:val="24"/>
        </w:rPr>
      </w:pPr>
      <w:r>
        <w:rPr>
          <w:sz w:val="24"/>
          <w:szCs w:val="24"/>
        </w:rPr>
        <w:t>Barantan Phospine untuk Perlakuan Karantina Tumbuhan. 2011. Badan Karantinan Tumbuhan Pertanian.</w:t>
      </w:r>
    </w:p>
    <w:p w:rsidR="000D6807" w:rsidRDefault="009B1448">
      <w:pPr>
        <w:pStyle w:val="ListParagraph"/>
        <w:spacing w:after="300"/>
        <w:ind w:left="0" w:hanging="11"/>
        <w:jc w:val="both"/>
      </w:pPr>
      <w:r>
        <w:rPr>
          <w:sz w:val="24"/>
          <w:szCs w:val="24"/>
        </w:rPr>
        <w:t xml:space="preserve">Bond, E.J. 1984. </w:t>
      </w:r>
      <w:r>
        <w:rPr>
          <w:i/>
          <w:sz w:val="24"/>
          <w:szCs w:val="24"/>
        </w:rPr>
        <w:t>Manual of Fumigation for Insect Control</w:t>
      </w:r>
      <w:r>
        <w:rPr>
          <w:sz w:val="24"/>
          <w:szCs w:val="24"/>
        </w:rPr>
        <w:t>. Rome: FAO.</w:t>
      </w:r>
    </w:p>
    <w:p w:rsidR="000D6807" w:rsidRDefault="009B1448">
      <w:pPr>
        <w:pStyle w:val="ListParagraph"/>
        <w:spacing w:after="300"/>
        <w:ind w:left="0" w:hanging="11"/>
        <w:jc w:val="both"/>
      </w:pPr>
      <w:r>
        <w:rPr>
          <w:sz w:val="24"/>
          <w:szCs w:val="24"/>
        </w:rPr>
        <w:t xml:space="preserve">Bond, E.J. 2006. </w:t>
      </w:r>
      <w:r>
        <w:rPr>
          <w:i/>
          <w:sz w:val="24"/>
          <w:szCs w:val="24"/>
        </w:rPr>
        <w:t>Manual of Fumoigation for Insect Control</w:t>
      </w:r>
      <w:r>
        <w:rPr>
          <w:sz w:val="24"/>
          <w:szCs w:val="24"/>
        </w:rPr>
        <w:t>. Rome: FAO.</w:t>
      </w:r>
    </w:p>
    <w:p w:rsidR="000D6807" w:rsidRDefault="009B1448">
      <w:pPr>
        <w:pStyle w:val="ListParagraph"/>
        <w:spacing w:after="300"/>
        <w:ind w:left="567" w:hanging="567"/>
        <w:jc w:val="both"/>
        <w:rPr>
          <w:sz w:val="24"/>
          <w:szCs w:val="24"/>
        </w:rPr>
      </w:pPr>
      <w:r>
        <w:rPr>
          <w:sz w:val="24"/>
          <w:szCs w:val="24"/>
        </w:rPr>
        <w:t>Darsilawati, I. 2015. Hama Gudang Ordo Coleoptera pada Bahan Baku Pakan Ternak Impor dan Status Resistensinya terhadap Phospinee. Entomologi. Institut Pertanian Bogor: Bogor.</w:t>
      </w:r>
    </w:p>
    <w:p w:rsidR="000D6807" w:rsidRDefault="009B1448">
      <w:pPr>
        <w:pStyle w:val="ListParagraph"/>
        <w:spacing w:after="300"/>
        <w:ind w:left="567" w:hanging="567"/>
        <w:jc w:val="both"/>
      </w:pPr>
      <w:r>
        <w:rPr>
          <w:sz w:val="24"/>
          <w:szCs w:val="24"/>
        </w:rPr>
        <w:lastRenderedPageBreak/>
        <w:t xml:space="preserve">Devi, M.B., and N.V. Devi. 2015. Biology of Rust-Red Flour Beetle, </w:t>
      </w:r>
      <w:r>
        <w:rPr>
          <w:i/>
          <w:sz w:val="24"/>
          <w:szCs w:val="24"/>
        </w:rPr>
        <w:t xml:space="preserve">Tribolium castaneum </w:t>
      </w:r>
      <w:r>
        <w:rPr>
          <w:sz w:val="24"/>
          <w:szCs w:val="24"/>
        </w:rPr>
        <w:t xml:space="preserve">(Herbst) (Coleoptera: Tenebrionidae). </w:t>
      </w:r>
      <w:r>
        <w:rPr>
          <w:i/>
          <w:sz w:val="24"/>
          <w:szCs w:val="24"/>
        </w:rPr>
        <w:t xml:space="preserve">Biology Forum, </w:t>
      </w:r>
      <w:r>
        <w:rPr>
          <w:sz w:val="24"/>
          <w:szCs w:val="24"/>
        </w:rPr>
        <w:t>7(1): 12-15.</w:t>
      </w:r>
    </w:p>
    <w:p w:rsidR="000D6807" w:rsidRDefault="009B1448">
      <w:pPr>
        <w:spacing w:after="300"/>
        <w:ind w:left="567" w:hanging="567"/>
        <w:jc w:val="both"/>
      </w:pPr>
      <w:r>
        <w:rPr>
          <w:rFonts w:ascii="Times New Roman" w:eastAsia="Times New Roman" w:hAnsi="Times New Roman"/>
          <w:sz w:val="24"/>
          <w:szCs w:val="24"/>
        </w:rPr>
        <w:t xml:space="preserve">Dewi, R. S. 2010. Keekfektifan Tiga Jenis Tumbuhan terhadap </w:t>
      </w:r>
      <w:r>
        <w:rPr>
          <w:rFonts w:ascii="Times New Roman" w:eastAsia="Times New Roman" w:hAnsi="Times New Roman"/>
          <w:i/>
          <w:sz w:val="24"/>
          <w:szCs w:val="24"/>
        </w:rPr>
        <w:t xml:space="preserve">Paracoccus marginatus </w:t>
      </w:r>
      <w:r>
        <w:rPr>
          <w:rFonts w:ascii="Times New Roman" w:eastAsia="Times New Roman" w:hAnsi="Times New Roman"/>
          <w:sz w:val="24"/>
          <w:szCs w:val="24"/>
        </w:rPr>
        <w:t xml:space="preserve">dan </w:t>
      </w:r>
      <w:r>
        <w:rPr>
          <w:rFonts w:ascii="Times New Roman" w:eastAsia="Times New Roman" w:hAnsi="Times New Roman"/>
          <w:i/>
          <w:sz w:val="24"/>
          <w:szCs w:val="24"/>
        </w:rPr>
        <w:t>Tetraychus</w:t>
      </w:r>
      <w:r>
        <w:rPr>
          <w:rFonts w:ascii="Times New Roman" w:eastAsia="Times New Roman" w:hAnsi="Times New Roman"/>
          <w:sz w:val="24"/>
          <w:szCs w:val="24"/>
        </w:rPr>
        <w:t xml:space="preserve"> Sp. pada Tanaman Jarak Pagar (</w:t>
      </w:r>
      <w:r>
        <w:rPr>
          <w:rFonts w:ascii="Times New Roman" w:eastAsia="Times New Roman" w:hAnsi="Times New Roman"/>
          <w:i/>
          <w:sz w:val="24"/>
          <w:szCs w:val="24"/>
        </w:rPr>
        <w:t>Jatropha curcas</w:t>
      </w:r>
      <w:r>
        <w:rPr>
          <w:rFonts w:ascii="Times New Roman" w:eastAsia="Times New Roman" w:hAnsi="Times New Roman"/>
          <w:sz w:val="24"/>
          <w:szCs w:val="24"/>
        </w:rPr>
        <w:t xml:space="preserve"> L). Tesis Program Pascasarjana. Institut Pertanian Bogor. </w:t>
      </w:r>
    </w:p>
    <w:p w:rsidR="000D6807" w:rsidRDefault="009B1448">
      <w:pPr>
        <w:pStyle w:val="ListParagraph"/>
        <w:spacing w:after="300"/>
        <w:ind w:left="567" w:hanging="567"/>
        <w:jc w:val="both"/>
      </w:pPr>
      <w:r>
        <w:rPr>
          <w:sz w:val="24"/>
          <w:szCs w:val="24"/>
        </w:rPr>
        <w:t xml:space="preserve">Djojosumarto, P. 2008. </w:t>
      </w:r>
      <w:r>
        <w:rPr>
          <w:i/>
          <w:sz w:val="24"/>
          <w:szCs w:val="24"/>
        </w:rPr>
        <w:t xml:space="preserve">Panduan Lengkap Pestsida dan Aplikasinya. </w:t>
      </w:r>
      <w:r>
        <w:rPr>
          <w:sz w:val="24"/>
          <w:szCs w:val="24"/>
        </w:rPr>
        <w:t>Agromedia Pustaka: Jakarta.</w:t>
      </w:r>
    </w:p>
    <w:p w:rsidR="000D6807" w:rsidRDefault="009B1448">
      <w:pPr>
        <w:pStyle w:val="ListParagraph"/>
        <w:spacing w:after="300"/>
        <w:ind w:left="567" w:hanging="567"/>
        <w:jc w:val="both"/>
      </w:pPr>
      <w:r>
        <w:rPr>
          <w:sz w:val="24"/>
          <w:szCs w:val="24"/>
        </w:rPr>
        <w:t xml:space="preserve">Ferrell, A. M. 1996. </w:t>
      </w:r>
      <w:r>
        <w:rPr>
          <w:i/>
          <w:sz w:val="24"/>
          <w:szCs w:val="24"/>
        </w:rPr>
        <w:t>Fumigation of Farm Stored Grain and Structures</w:t>
      </w:r>
      <w:r>
        <w:rPr>
          <w:sz w:val="24"/>
          <w:szCs w:val="24"/>
        </w:rPr>
        <w:t>. Departmeno of Plant, Soil and Insect Sciences: Laramie.</w:t>
      </w:r>
    </w:p>
    <w:p w:rsidR="000D6807" w:rsidRDefault="009B1448">
      <w:pPr>
        <w:pStyle w:val="ListParagraph"/>
        <w:spacing w:after="300"/>
        <w:ind w:left="567" w:hanging="567"/>
        <w:jc w:val="both"/>
      </w:pPr>
      <w:r>
        <w:rPr>
          <w:sz w:val="24"/>
          <w:szCs w:val="24"/>
        </w:rPr>
        <w:t xml:space="preserve">Hagstrum, D. W., T. W. Phillips dan G. Cuperus. 1995. </w:t>
      </w:r>
      <w:r>
        <w:rPr>
          <w:i/>
          <w:sz w:val="24"/>
          <w:szCs w:val="24"/>
        </w:rPr>
        <w:t>Stored Product Protection</w:t>
      </w:r>
      <w:r>
        <w:rPr>
          <w:sz w:val="24"/>
          <w:szCs w:val="24"/>
        </w:rPr>
        <w:t>. Kansas State Research and Extension. Kansas.</w:t>
      </w:r>
    </w:p>
    <w:p w:rsidR="000D6807" w:rsidRDefault="009B1448">
      <w:pPr>
        <w:pStyle w:val="ListParagraph"/>
        <w:spacing w:after="300"/>
        <w:ind w:left="567" w:hanging="567"/>
        <w:jc w:val="both"/>
      </w:pPr>
      <w:r>
        <w:rPr>
          <w:sz w:val="24"/>
          <w:szCs w:val="24"/>
        </w:rPr>
        <w:t>Harahap., dan K, Rakhmadiah. 2016. Uji Beberapa Konsentrasi Tepung Daun Sirih Hutan (</w:t>
      </w:r>
      <w:r>
        <w:rPr>
          <w:i/>
          <w:sz w:val="24"/>
          <w:szCs w:val="24"/>
        </w:rPr>
        <w:t>Piper aduncum</w:t>
      </w:r>
      <w:r>
        <w:rPr>
          <w:sz w:val="24"/>
          <w:szCs w:val="24"/>
        </w:rPr>
        <w:t xml:space="preserve"> L.) untuk Mengendalikan Hama </w:t>
      </w:r>
      <w:r>
        <w:rPr>
          <w:i/>
          <w:sz w:val="24"/>
          <w:szCs w:val="24"/>
        </w:rPr>
        <w:t xml:space="preserve">Sitophilus zeamais </w:t>
      </w:r>
      <w:r>
        <w:rPr>
          <w:sz w:val="24"/>
          <w:szCs w:val="24"/>
        </w:rPr>
        <w:t xml:space="preserve">M. pada Biji Jagung di Penyimpanan. </w:t>
      </w:r>
      <w:r>
        <w:rPr>
          <w:i/>
          <w:sz w:val="24"/>
          <w:szCs w:val="24"/>
        </w:rPr>
        <w:t>Agroekotek</w:t>
      </w:r>
      <w:r>
        <w:rPr>
          <w:sz w:val="24"/>
          <w:szCs w:val="24"/>
        </w:rPr>
        <w:t>, 8(2):82-94.</w:t>
      </w:r>
    </w:p>
    <w:p w:rsidR="000D6807" w:rsidRDefault="009B1448">
      <w:pPr>
        <w:pStyle w:val="ListParagraph"/>
        <w:spacing w:after="300"/>
        <w:ind w:left="567" w:hanging="567"/>
        <w:jc w:val="both"/>
      </w:pPr>
      <w:r>
        <w:rPr>
          <w:sz w:val="24"/>
          <w:szCs w:val="24"/>
        </w:rPr>
        <w:t xml:space="preserve">Hayata, H. 2014. Respon Hama </w:t>
      </w:r>
      <w:r>
        <w:rPr>
          <w:i/>
          <w:sz w:val="24"/>
          <w:szCs w:val="24"/>
        </w:rPr>
        <w:t xml:space="preserve">Lasioderma serricorne </w:t>
      </w:r>
      <w:r>
        <w:rPr>
          <w:sz w:val="24"/>
          <w:szCs w:val="24"/>
        </w:rPr>
        <w:t xml:space="preserve">terhadap Pemberian Phospinee Formulasi (Tablet dan Bags) pada Biji Pinang. </w:t>
      </w:r>
      <w:r>
        <w:rPr>
          <w:i/>
          <w:sz w:val="24"/>
          <w:szCs w:val="24"/>
        </w:rPr>
        <w:t>Ilmiah Universitas Batanghari Jambi</w:t>
      </w:r>
      <w:r>
        <w:rPr>
          <w:sz w:val="24"/>
          <w:szCs w:val="24"/>
        </w:rPr>
        <w:t>, 14(4): 87-93.</w:t>
      </w:r>
    </w:p>
    <w:p w:rsidR="000D6807" w:rsidRDefault="009B1448">
      <w:pPr>
        <w:pStyle w:val="ListParagraph"/>
        <w:spacing w:after="300"/>
        <w:ind w:left="567" w:hanging="567"/>
        <w:jc w:val="both"/>
      </w:pPr>
      <w:r>
        <w:rPr>
          <w:sz w:val="24"/>
          <w:szCs w:val="24"/>
        </w:rPr>
        <w:t>Hendrival., Latifah., Dedi, Saputra., dan Orina. 2016. Kerentanan Jenis Tepung terhadap Infestasi Kumbang Tepung Merah (</w:t>
      </w:r>
      <w:r>
        <w:rPr>
          <w:i/>
          <w:sz w:val="24"/>
          <w:szCs w:val="24"/>
        </w:rPr>
        <w:t xml:space="preserve">Tribolium castaneum </w:t>
      </w:r>
      <w:r>
        <w:rPr>
          <w:sz w:val="24"/>
          <w:szCs w:val="24"/>
        </w:rPr>
        <w:t xml:space="preserve">Herbst) (Coleoptera: Tenebrionidae). </w:t>
      </w:r>
      <w:r>
        <w:rPr>
          <w:i/>
          <w:sz w:val="24"/>
          <w:szCs w:val="24"/>
        </w:rPr>
        <w:t>Agribisnis</w:t>
      </w:r>
      <w:r>
        <w:rPr>
          <w:sz w:val="24"/>
          <w:szCs w:val="24"/>
        </w:rPr>
        <w:t>, 27(3): 148-153.</w:t>
      </w:r>
    </w:p>
    <w:p w:rsidR="000D6807" w:rsidRDefault="009B1448">
      <w:pPr>
        <w:pStyle w:val="ListParagraph"/>
        <w:spacing w:after="300"/>
        <w:ind w:left="567" w:hanging="567"/>
        <w:jc w:val="both"/>
      </w:pPr>
      <w:r>
        <w:rPr>
          <w:sz w:val="24"/>
          <w:szCs w:val="24"/>
        </w:rPr>
        <w:t xml:space="preserve">Mahroof, R. M. dan D. W. Hagstrum. 2012. </w:t>
      </w:r>
      <w:r>
        <w:rPr>
          <w:i/>
          <w:sz w:val="24"/>
          <w:szCs w:val="24"/>
        </w:rPr>
        <w:t>Biology, Behavior, and Ecology of Insects in Processed Commodities.</w:t>
      </w:r>
      <w:r>
        <w:rPr>
          <w:sz w:val="24"/>
          <w:szCs w:val="24"/>
        </w:rPr>
        <w:t xml:space="preserve"> Kansas State Research and Extension. Kansas</w:t>
      </w:r>
    </w:p>
    <w:p w:rsidR="000D6807" w:rsidRDefault="009B1448">
      <w:pPr>
        <w:pStyle w:val="ListParagraph"/>
        <w:spacing w:after="300"/>
        <w:ind w:left="567" w:hanging="567"/>
        <w:jc w:val="both"/>
      </w:pPr>
      <w:r>
        <w:rPr>
          <w:sz w:val="24"/>
          <w:szCs w:val="24"/>
        </w:rPr>
        <w:t xml:space="preserve">Mishra, B. B., S.P, Tripathi., dan C.P.M, Tripathi. Effect of Temperature at Fixed Relative Humidity in Fecundity and Development of </w:t>
      </w:r>
      <w:r>
        <w:rPr>
          <w:i/>
          <w:sz w:val="24"/>
          <w:szCs w:val="24"/>
        </w:rPr>
        <w:t xml:space="preserve">Tribolium castaneum </w:t>
      </w:r>
      <w:r>
        <w:rPr>
          <w:sz w:val="24"/>
          <w:szCs w:val="24"/>
        </w:rPr>
        <w:t xml:space="preserve">(Herbst). </w:t>
      </w:r>
      <w:r>
        <w:rPr>
          <w:i/>
          <w:sz w:val="24"/>
          <w:szCs w:val="24"/>
        </w:rPr>
        <w:t>Entomology and Zoology Studies</w:t>
      </w:r>
      <w:r>
        <w:rPr>
          <w:sz w:val="24"/>
          <w:szCs w:val="24"/>
        </w:rPr>
        <w:t>, 4(3): 255-257.</w:t>
      </w:r>
    </w:p>
    <w:p w:rsidR="000D6807" w:rsidRDefault="009B1448">
      <w:pPr>
        <w:pStyle w:val="ListParagraph"/>
        <w:spacing w:after="300"/>
        <w:ind w:left="567" w:hanging="567"/>
        <w:jc w:val="both"/>
      </w:pPr>
      <w:r>
        <w:rPr>
          <w:sz w:val="24"/>
          <w:szCs w:val="24"/>
        </w:rPr>
        <w:t xml:space="preserve">Oktianty, Resita., Martini., dan Rully, Rahardian. 2016. Efektivitas Fumigan </w:t>
      </w:r>
      <w:r>
        <w:rPr>
          <w:i/>
          <w:sz w:val="24"/>
          <w:szCs w:val="24"/>
        </w:rPr>
        <w:t xml:space="preserve">Sulfuryl Fluoride </w:t>
      </w:r>
      <w:r>
        <w:rPr>
          <w:sz w:val="24"/>
          <w:szCs w:val="24"/>
        </w:rPr>
        <w:t xml:space="preserve">terhadap Pengendalian </w:t>
      </w:r>
      <w:r>
        <w:rPr>
          <w:i/>
          <w:sz w:val="24"/>
          <w:szCs w:val="24"/>
        </w:rPr>
        <w:t xml:space="preserve">Tribolium Cataneum </w:t>
      </w:r>
      <w:r>
        <w:rPr>
          <w:sz w:val="24"/>
          <w:szCs w:val="24"/>
        </w:rPr>
        <w:t xml:space="preserve">(Insecta : Coleoptera) di Gudang Industri Pakan Ternak di Wilayah Kota Semarang. </w:t>
      </w:r>
      <w:r>
        <w:rPr>
          <w:i/>
          <w:sz w:val="24"/>
          <w:szCs w:val="24"/>
        </w:rPr>
        <w:t>Kesehatan Masyarakat</w:t>
      </w:r>
      <w:r>
        <w:rPr>
          <w:sz w:val="24"/>
          <w:szCs w:val="24"/>
        </w:rPr>
        <w:t>,4(1): 188-195</w:t>
      </w:r>
    </w:p>
    <w:p w:rsidR="000D6807" w:rsidRDefault="009B1448">
      <w:pPr>
        <w:pStyle w:val="ListParagraph"/>
        <w:spacing w:after="300"/>
        <w:ind w:left="567" w:hanging="567"/>
        <w:jc w:val="both"/>
      </w:pPr>
      <w:r>
        <w:rPr>
          <w:sz w:val="24"/>
          <w:szCs w:val="24"/>
        </w:rPr>
        <w:t xml:space="preserve">Pradeksa, Y., Dwidjono, H.D., dan Masyuri. 2014. Faktor-Fator Yang Mempengaruhi Impor Gandum Indonesia. </w:t>
      </w:r>
      <w:r>
        <w:rPr>
          <w:i/>
          <w:sz w:val="24"/>
          <w:szCs w:val="24"/>
        </w:rPr>
        <w:t>Agro Ekonomi</w:t>
      </w:r>
      <w:r>
        <w:rPr>
          <w:sz w:val="24"/>
          <w:szCs w:val="24"/>
        </w:rPr>
        <w:t>, 24(1): 44-54.</w:t>
      </w:r>
    </w:p>
    <w:p w:rsidR="000D6807" w:rsidRDefault="009B1448">
      <w:pPr>
        <w:pStyle w:val="ListParagraph"/>
        <w:spacing w:after="300"/>
        <w:ind w:left="567" w:hanging="567"/>
        <w:jc w:val="both"/>
      </w:pPr>
      <w:r>
        <w:rPr>
          <w:sz w:val="24"/>
          <w:szCs w:val="24"/>
        </w:rPr>
        <w:t xml:space="preserve">Purnomo, B.H., Andrew, S.R., dan Yurika, W.D. 2014. Formulasi Strategi Rantai Pasok tepung Terigu Untuk Industri Kecil Menengah di Kabupaten Jember. </w:t>
      </w:r>
      <w:r>
        <w:rPr>
          <w:i/>
          <w:sz w:val="24"/>
          <w:szCs w:val="24"/>
        </w:rPr>
        <w:t>Agroteknologi</w:t>
      </w:r>
      <w:r>
        <w:rPr>
          <w:sz w:val="24"/>
          <w:szCs w:val="24"/>
        </w:rPr>
        <w:t>, 8(2): 140-153.</w:t>
      </w:r>
    </w:p>
    <w:p w:rsidR="000D6807" w:rsidRDefault="009B1448">
      <w:pPr>
        <w:pStyle w:val="ListParagraph"/>
        <w:spacing w:after="300"/>
        <w:ind w:left="567" w:hanging="567"/>
        <w:jc w:val="both"/>
      </w:pPr>
      <w:r>
        <w:rPr>
          <w:sz w:val="24"/>
          <w:szCs w:val="24"/>
        </w:rPr>
        <w:t xml:space="preserve">Purnomo, H., dan Nanang, T, R. 2007. </w:t>
      </w:r>
      <w:r>
        <w:rPr>
          <w:i/>
          <w:sz w:val="24"/>
          <w:szCs w:val="24"/>
        </w:rPr>
        <w:t>Entomologi.</w:t>
      </w:r>
      <w:r>
        <w:rPr>
          <w:sz w:val="24"/>
          <w:szCs w:val="24"/>
        </w:rPr>
        <w:t xml:space="preserve"> Center For Society Studies: Jember.</w:t>
      </w:r>
      <w:r>
        <w:rPr>
          <w:i/>
          <w:sz w:val="24"/>
          <w:szCs w:val="24"/>
        </w:rPr>
        <w:t xml:space="preserve"> </w:t>
      </w:r>
    </w:p>
    <w:p w:rsidR="000D6807" w:rsidRDefault="009B1448">
      <w:pPr>
        <w:pStyle w:val="ListParagraph"/>
        <w:spacing w:after="300"/>
        <w:ind w:left="567" w:hanging="567"/>
        <w:jc w:val="both"/>
      </w:pPr>
      <w:r>
        <w:rPr>
          <w:sz w:val="24"/>
          <w:szCs w:val="24"/>
        </w:rPr>
        <w:lastRenderedPageBreak/>
        <w:t xml:space="preserve">Putri, Dytri Anintyas. 2017. “Pengaruh Lama Fumigasi dan Lama Penyimpanan pada Viabilitas Benih Sorgum ( </w:t>
      </w:r>
      <w:r>
        <w:rPr>
          <w:i/>
          <w:sz w:val="24"/>
          <w:szCs w:val="24"/>
        </w:rPr>
        <w:t xml:space="preserve">Sorghum bicolor </w:t>
      </w:r>
      <w:r>
        <w:rPr>
          <w:sz w:val="24"/>
          <w:szCs w:val="24"/>
        </w:rPr>
        <w:t xml:space="preserve">[L.] Moench)”. </w:t>
      </w:r>
      <w:r>
        <w:rPr>
          <w:i/>
          <w:sz w:val="24"/>
          <w:szCs w:val="24"/>
        </w:rPr>
        <w:t>Skripsi</w:t>
      </w:r>
      <w:r>
        <w:rPr>
          <w:sz w:val="24"/>
          <w:szCs w:val="24"/>
        </w:rPr>
        <w:t>. Fakultas Pertanian, Agroteknologi, Universitas Lampung, Bandar Lampung.</w:t>
      </w:r>
    </w:p>
    <w:p w:rsidR="000D6807" w:rsidRDefault="009B1448">
      <w:pPr>
        <w:pStyle w:val="Default"/>
        <w:spacing w:after="300"/>
        <w:ind w:left="567" w:hanging="567"/>
        <w:jc w:val="both"/>
      </w:pPr>
      <w:r>
        <w:t xml:space="preserve">Rachman, N. 2015. Keefektifan Phospine Formulasi Cair Terhadap </w:t>
      </w:r>
      <w:r>
        <w:rPr>
          <w:i/>
          <w:iCs/>
        </w:rPr>
        <w:t xml:space="preserve">Aphis Gossypii </w:t>
      </w:r>
      <w:r>
        <w:t xml:space="preserve">Glover dan </w:t>
      </w:r>
      <w:r>
        <w:rPr>
          <w:i/>
          <w:iCs/>
        </w:rPr>
        <w:t xml:space="preserve">Macrosiphoniella Sanborni </w:t>
      </w:r>
      <w:r>
        <w:t>Gillette (Hemiptera: Aphididae) pada Bunga Potong Krisan (Tesis). Bogor: Institut Pertanian Bogor.</w:t>
      </w:r>
    </w:p>
    <w:p w:rsidR="000D6807" w:rsidRDefault="009B1448">
      <w:pPr>
        <w:pStyle w:val="Default"/>
        <w:spacing w:after="300"/>
        <w:ind w:left="567" w:hanging="567"/>
        <w:jc w:val="both"/>
      </w:pPr>
      <w:r>
        <w:rPr>
          <w:rStyle w:val="A3"/>
          <w:b w:val="0"/>
          <w:sz w:val="24"/>
          <w:szCs w:val="24"/>
        </w:rPr>
        <w:t xml:space="preserve">Raini, M. 2007. Toksikologi Pestisida dan Penangan Akibat Keracunan Pestisida. </w:t>
      </w:r>
      <w:r>
        <w:rPr>
          <w:rStyle w:val="A3"/>
          <w:b w:val="0"/>
          <w:i/>
          <w:sz w:val="24"/>
          <w:szCs w:val="24"/>
        </w:rPr>
        <w:t>Litbang Kesehatan</w:t>
      </w:r>
      <w:r>
        <w:rPr>
          <w:rStyle w:val="A3"/>
          <w:b w:val="0"/>
          <w:sz w:val="24"/>
          <w:szCs w:val="24"/>
        </w:rPr>
        <w:t>, 17(3): 10-19.</w:t>
      </w:r>
    </w:p>
    <w:p w:rsidR="000D6807" w:rsidRDefault="000D6807">
      <w:pPr>
        <w:pStyle w:val="Default"/>
        <w:spacing w:after="300"/>
        <w:ind w:left="567" w:hanging="567"/>
        <w:jc w:val="both"/>
      </w:pPr>
    </w:p>
    <w:p w:rsidR="000D6807" w:rsidRDefault="009B1448">
      <w:pPr>
        <w:pStyle w:val="Default"/>
        <w:spacing w:after="300"/>
        <w:ind w:left="567" w:hanging="567"/>
        <w:jc w:val="both"/>
      </w:pPr>
      <w:r>
        <w:rPr>
          <w:rStyle w:val="A3"/>
          <w:b w:val="0"/>
          <w:sz w:val="24"/>
          <w:szCs w:val="24"/>
        </w:rPr>
        <w:t xml:space="preserve">Rees, D. 2004. </w:t>
      </w:r>
      <w:r>
        <w:rPr>
          <w:rStyle w:val="A3"/>
          <w:b w:val="0"/>
          <w:i/>
          <w:sz w:val="24"/>
          <w:szCs w:val="24"/>
        </w:rPr>
        <w:t>Insect of Stored Products</w:t>
      </w:r>
      <w:r>
        <w:rPr>
          <w:rStyle w:val="A3"/>
          <w:b w:val="0"/>
          <w:sz w:val="24"/>
          <w:szCs w:val="24"/>
        </w:rPr>
        <w:t>. National Library of Australia of cataloguing in Publication Entry: Oxford.</w:t>
      </w:r>
    </w:p>
    <w:p w:rsidR="000D6807" w:rsidRDefault="009B1448">
      <w:pPr>
        <w:pStyle w:val="Default"/>
        <w:spacing w:after="300"/>
        <w:ind w:left="567" w:hanging="567"/>
        <w:jc w:val="both"/>
      </w:pPr>
      <w:r>
        <w:rPr>
          <w:rStyle w:val="A3"/>
          <w:b w:val="0"/>
          <w:sz w:val="24"/>
          <w:szCs w:val="24"/>
        </w:rPr>
        <w:t xml:space="preserve">Rustandi, D. 2011. </w:t>
      </w:r>
      <w:r>
        <w:rPr>
          <w:rStyle w:val="A3"/>
          <w:b w:val="0"/>
          <w:i/>
          <w:sz w:val="24"/>
          <w:szCs w:val="24"/>
        </w:rPr>
        <w:t>Powerfull UKM: Produksi Mie</w:t>
      </w:r>
      <w:r>
        <w:rPr>
          <w:rStyle w:val="A3"/>
          <w:b w:val="0"/>
          <w:sz w:val="24"/>
          <w:szCs w:val="24"/>
        </w:rPr>
        <w:t xml:space="preserve">. PT Tiga Serangaki Pustaka Mandiri: Solo. </w:t>
      </w:r>
    </w:p>
    <w:p w:rsidR="000D6807" w:rsidRDefault="009B1448">
      <w:pPr>
        <w:pStyle w:val="Default"/>
        <w:spacing w:after="300"/>
        <w:ind w:left="567" w:hanging="567"/>
        <w:jc w:val="both"/>
      </w:pPr>
      <w:r>
        <w:rPr>
          <w:rStyle w:val="A3"/>
          <w:b w:val="0"/>
          <w:sz w:val="24"/>
          <w:szCs w:val="24"/>
        </w:rPr>
        <w:t xml:space="preserve">Sasono, H.B. 2012. </w:t>
      </w:r>
      <w:r>
        <w:rPr>
          <w:rStyle w:val="A3"/>
          <w:b w:val="0"/>
          <w:i/>
          <w:sz w:val="24"/>
          <w:szCs w:val="24"/>
        </w:rPr>
        <w:t>Manajemen Pelabuhan dan Realisasi Ekspor Impor</w:t>
      </w:r>
      <w:r>
        <w:rPr>
          <w:rStyle w:val="A3"/>
          <w:b w:val="0"/>
          <w:sz w:val="24"/>
          <w:szCs w:val="24"/>
        </w:rPr>
        <w:t>. Andi Offset: Yogyakarta.</w:t>
      </w:r>
    </w:p>
    <w:p w:rsidR="000D6807" w:rsidRDefault="009B1448">
      <w:pPr>
        <w:pStyle w:val="Default"/>
        <w:spacing w:after="300"/>
        <w:ind w:left="567" w:hanging="567"/>
        <w:jc w:val="both"/>
      </w:pPr>
      <w:r>
        <w:rPr>
          <w:rStyle w:val="A3"/>
          <w:b w:val="0"/>
          <w:sz w:val="24"/>
          <w:szCs w:val="24"/>
        </w:rPr>
        <w:t xml:space="preserve">Seameo Biotrop. 2011. </w:t>
      </w:r>
      <w:r>
        <w:rPr>
          <w:rStyle w:val="A3"/>
          <w:b w:val="0"/>
          <w:i/>
          <w:sz w:val="24"/>
          <w:szCs w:val="24"/>
        </w:rPr>
        <w:t xml:space="preserve">Modul Pelatihan Fumigasi Fosfin yang Baik dan Benar. </w:t>
      </w:r>
      <w:r>
        <w:rPr>
          <w:rStyle w:val="A3"/>
          <w:b w:val="0"/>
          <w:sz w:val="24"/>
          <w:szCs w:val="24"/>
        </w:rPr>
        <w:t>Seameo Biotrop.</w:t>
      </w:r>
    </w:p>
    <w:p w:rsidR="000D6807" w:rsidRDefault="009B1448">
      <w:pPr>
        <w:pStyle w:val="Default"/>
        <w:spacing w:after="300"/>
        <w:ind w:left="567" w:hanging="567"/>
        <w:jc w:val="both"/>
      </w:pPr>
      <w:r>
        <w:rPr>
          <w:rStyle w:val="A3"/>
          <w:b w:val="0"/>
          <w:sz w:val="24"/>
          <w:szCs w:val="24"/>
        </w:rPr>
        <w:t xml:space="preserve">Seameo Biotrop. 2012. </w:t>
      </w:r>
      <w:r>
        <w:rPr>
          <w:rStyle w:val="A3"/>
          <w:b w:val="0"/>
          <w:i/>
          <w:sz w:val="24"/>
          <w:szCs w:val="24"/>
        </w:rPr>
        <w:t xml:space="preserve">Modul Pengelolaan Hama Gudang Terpadu. </w:t>
      </w:r>
      <w:r>
        <w:rPr>
          <w:rStyle w:val="A3"/>
          <w:b w:val="0"/>
          <w:sz w:val="24"/>
          <w:szCs w:val="24"/>
        </w:rPr>
        <w:t>Seameo Biotrop.</w:t>
      </w:r>
    </w:p>
    <w:p w:rsidR="000D6807" w:rsidRDefault="009B1448">
      <w:pPr>
        <w:pStyle w:val="Default"/>
        <w:spacing w:after="300"/>
        <w:ind w:left="567" w:hanging="567"/>
        <w:jc w:val="both"/>
      </w:pPr>
      <w:r>
        <w:rPr>
          <w:rStyle w:val="A3"/>
          <w:b w:val="0"/>
          <w:sz w:val="24"/>
          <w:szCs w:val="24"/>
        </w:rPr>
        <w:t xml:space="preserve">Separinta, A. 2017. Kepentingan Pemerintah Indonesia Mengeluarkan Kebijakan Pembatasan Kuota Impor Tepung Gandum. </w:t>
      </w:r>
      <w:r>
        <w:rPr>
          <w:rStyle w:val="A3"/>
          <w:b w:val="0"/>
          <w:i/>
          <w:sz w:val="24"/>
          <w:szCs w:val="24"/>
        </w:rPr>
        <w:t>Jom Fisip</w:t>
      </w:r>
      <w:r>
        <w:rPr>
          <w:rStyle w:val="A3"/>
          <w:b w:val="0"/>
          <w:sz w:val="24"/>
          <w:szCs w:val="24"/>
        </w:rPr>
        <w:t>, 4(2): 1-7.</w:t>
      </w:r>
    </w:p>
    <w:p w:rsidR="000D6807" w:rsidRDefault="009B1448">
      <w:pPr>
        <w:spacing w:after="240"/>
        <w:ind w:left="567" w:hanging="567"/>
        <w:jc w:val="both"/>
      </w:pPr>
      <w:r>
        <w:rPr>
          <w:rFonts w:ascii="Times New Roman" w:hAnsi="Times New Roman"/>
          <w:sz w:val="24"/>
          <w:szCs w:val="24"/>
        </w:rPr>
        <w:t xml:space="preserve">Shepard, H. H. 1940. </w:t>
      </w:r>
      <w:r>
        <w:rPr>
          <w:rFonts w:ascii="Times New Roman" w:hAnsi="Times New Roman"/>
          <w:i/>
          <w:sz w:val="24"/>
          <w:szCs w:val="24"/>
        </w:rPr>
        <w:t>Insects Infesting Stored Foods</w:t>
      </w:r>
      <w:r>
        <w:rPr>
          <w:rFonts w:ascii="Times New Roman" w:hAnsi="Times New Roman"/>
          <w:sz w:val="24"/>
          <w:szCs w:val="24"/>
        </w:rPr>
        <w:t>. Unersity of Minnesota: Twin.</w:t>
      </w:r>
    </w:p>
    <w:p w:rsidR="000D6807" w:rsidRDefault="009B1448">
      <w:pPr>
        <w:spacing w:after="240"/>
        <w:ind w:left="567" w:hanging="567"/>
        <w:jc w:val="both"/>
      </w:pPr>
      <w:r>
        <w:rPr>
          <w:rFonts w:ascii="Times New Roman" w:hAnsi="Times New Roman"/>
          <w:sz w:val="24"/>
          <w:szCs w:val="24"/>
        </w:rPr>
        <w:t xml:space="preserve">SNI 3751-2009. 2009. </w:t>
      </w:r>
      <w:r>
        <w:rPr>
          <w:rFonts w:ascii="Times New Roman" w:hAnsi="Times New Roman"/>
          <w:i/>
          <w:sz w:val="24"/>
          <w:szCs w:val="24"/>
        </w:rPr>
        <w:t>Tepung Terigu Sebagai Bahan Makanan</w:t>
      </w:r>
      <w:r>
        <w:rPr>
          <w:rFonts w:ascii="Times New Roman" w:hAnsi="Times New Roman"/>
          <w:sz w:val="24"/>
          <w:szCs w:val="24"/>
        </w:rPr>
        <w:t>. Badan Standarisasi Nasional. Bandung.</w:t>
      </w:r>
    </w:p>
    <w:p w:rsidR="000D6807" w:rsidRDefault="009B1448">
      <w:pPr>
        <w:pStyle w:val="Default"/>
        <w:tabs>
          <w:tab w:val="left" w:pos="4962"/>
        </w:tabs>
        <w:ind w:left="567" w:hanging="567"/>
        <w:jc w:val="both"/>
      </w:pPr>
      <w:r>
        <w:rPr>
          <w:rStyle w:val="A3"/>
          <w:b w:val="0"/>
          <w:sz w:val="24"/>
          <w:szCs w:val="24"/>
        </w:rPr>
        <w:t xml:space="preserve">Sokolof, A., I. R. Franklin., L. F. Overton dan F. K. Ho. 1996. Comparative Studies with </w:t>
      </w:r>
      <w:r>
        <w:rPr>
          <w:rStyle w:val="A3"/>
          <w:b w:val="0"/>
          <w:i/>
          <w:sz w:val="24"/>
          <w:szCs w:val="24"/>
        </w:rPr>
        <w:t xml:space="preserve">Tribolium </w:t>
      </w:r>
      <w:r>
        <w:rPr>
          <w:rStyle w:val="A3"/>
          <w:b w:val="0"/>
          <w:sz w:val="24"/>
          <w:szCs w:val="24"/>
        </w:rPr>
        <w:t>( Coleoptera, Tenebrionidae). J. Stored Products Res. 1:295D311.</w:t>
      </w:r>
    </w:p>
    <w:p w:rsidR="000D6807" w:rsidRDefault="000D6807">
      <w:pPr>
        <w:pStyle w:val="Default"/>
        <w:tabs>
          <w:tab w:val="left" w:pos="4962"/>
        </w:tabs>
        <w:ind w:left="567" w:hanging="567"/>
        <w:jc w:val="both"/>
      </w:pPr>
    </w:p>
    <w:p w:rsidR="000D6807" w:rsidRDefault="009B1448">
      <w:pPr>
        <w:pStyle w:val="Default"/>
        <w:tabs>
          <w:tab w:val="left" w:pos="4962"/>
        </w:tabs>
        <w:ind w:left="567" w:hanging="567"/>
        <w:jc w:val="both"/>
      </w:pPr>
      <w:r>
        <w:rPr>
          <w:rStyle w:val="A3"/>
          <w:b w:val="0"/>
          <w:sz w:val="24"/>
          <w:szCs w:val="24"/>
        </w:rPr>
        <w:t>Utami, S. 2010. Aktivitas Insektisida Bintaro (</w:t>
      </w:r>
      <w:r>
        <w:rPr>
          <w:rStyle w:val="A3"/>
          <w:b w:val="0"/>
          <w:i/>
          <w:sz w:val="24"/>
          <w:szCs w:val="24"/>
        </w:rPr>
        <w:t xml:space="preserve">Cerbera adollam </w:t>
      </w:r>
      <w:r>
        <w:rPr>
          <w:rStyle w:val="A3"/>
          <w:b w:val="0"/>
          <w:sz w:val="24"/>
          <w:szCs w:val="24"/>
        </w:rPr>
        <w:t xml:space="preserve">Gaertn) terhadap Hama </w:t>
      </w:r>
      <w:r>
        <w:rPr>
          <w:rStyle w:val="A3"/>
          <w:b w:val="0"/>
          <w:i/>
          <w:sz w:val="24"/>
          <w:szCs w:val="24"/>
        </w:rPr>
        <w:t xml:space="preserve">Eurema </w:t>
      </w:r>
      <w:r>
        <w:rPr>
          <w:rStyle w:val="A3"/>
          <w:b w:val="0"/>
          <w:sz w:val="24"/>
          <w:szCs w:val="24"/>
        </w:rPr>
        <w:t xml:space="preserve">spp. pada Skala Laboratorium. </w:t>
      </w:r>
      <w:r>
        <w:rPr>
          <w:rStyle w:val="A3"/>
          <w:b w:val="0"/>
          <w:i/>
          <w:sz w:val="24"/>
          <w:szCs w:val="24"/>
        </w:rPr>
        <w:t xml:space="preserve">Penelitian Hutan Tanaman, </w:t>
      </w:r>
      <w:r>
        <w:rPr>
          <w:rStyle w:val="A3"/>
          <w:b w:val="0"/>
          <w:sz w:val="24"/>
          <w:szCs w:val="24"/>
        </w:rPr>
        <w:t>7(4): 211-220.</w:t>
      </w:r>
    </w:p>
    <w:p w:rsidR="000D6807" w:rsidRDefault="000D6807">
      <w:pPr>
        <w:pStyle w:val="Default"/>
        <w:tabs>
          <w:tab w:val="left" w:pos="4962"/>
        </w:tabs>
        <w:ind w:left="1134" w:hanging="567"/>
        <w:jc w:val="both"/>
      </w:pPr>
    </w:p>
    <w:p w:rsidR="000D6807" w:rsidRDefault="009B1448">
      <w:pPr>
        <w:pStyle w:val="Default"/>
        <w:spacing w:after="300"/>
        <w:ind w:left="567" w:hanging="567"/>
        <w:jc w:val="both"/>
      </w:pPr>
      <w:r>
        <w:rPr>
          <w:rStyle w:val="A3"/>
          <w:b w:val="0"/>
          <w:sz w:val="24"/>
          <w:szCs w:val="24"/>
        </w:rPr>
        <w:t>Widayanti, S., Dadang., dan Harahap, I.S. 2017.</w:t>
      </w:r>
      <w:r>
        <w:rPr>
          <w:rStyle w:val="A3"/>
        </w:rPr>
        <w:t xml:space="preserve"> </w:t>
      </w:r>
      <w:r>
        <w:t xml:space="preserve">Status resistensi terhadap Phospine pada </w:t>
      </w:r>
      <w:r>
        <w:rPr>
          <w:i/>
          <w:iCs/>
        </w:rPr>
        <w:t xml:space="preserve">Tribolium castaneum </w:t>
      </w:r>
      <w:r>
        <w:t xml:space="preserve">Herbst (Coleoptera: Tenebrionidae) dari gudang penyimpanan biji kakao di Makassar Sulawesi Selatan. </w:t>
      </w:r>
      <w:r>
        <w:rPr>
          <w:i/>
          <w:iCs/>
        </w:rPr>
        <w:t>Entomologi Indonesia</w:t>
      </w:r>
      <w:r>
        <w:t xml:space="preserve">, 14(1): 10-19. </w:t>
      </w:r>
    </w:p>
    <w:p w:rsidR="000D6807" w:rsidRDefault="009B1448">
      <w:pPr>
        <w:pStyle w:val="ListParagraph"/>
        <w:spacing w:after="300"/>
        <w:ind w:left="567" w:hanging="567"/>
        <w:jc w:val="both"/>
      </w:pPr>
      <w:r>
        <w:rPr>
          <w:sz w:val="24"/>
          <w:szCs w:val="24"/>
        </w:rPr>
        <w:t xml:space="preserve">Wong, N dan C. Y. Lee. 2011. Relationship Between Population Growth of the Red Flour Beetle </w:t>
      </w:r>
      <w:r>
        <w:rPr>
          <w:i/>
          <w:sz w:val="24"/>
          <w:szCs w:val="24"/>
        </w:rPr>
        <w:t xml:space="preserve">Tribolium castaneum </w:t>
      </w:r>
      <w:r>
        <w:rPr>
          <w:sz w:val="24"/>
          <w:szCs w:val="24"/>
        </w:rPr>
        <w:t xml:space="preserve"> Protein and Carbohydrate Content in Flour and Starch. </w:t>
      </w:r>
      <w:r>
        <w:rPr>
          <w:i/>
          <w:sz w:val="24"/>
          <w:szCs w:val="24"/>
        </w:rPr>
        <w:t>Journal of Economic Entomology</w:t>
      </w:r>
      <w:r>
        <w:rPr>
          <w:sz w:val="24"/>
          <w:szCs w:val="24"/>
        </w:rPr>
        <w:t>, 104(6): 2087-2094.</w:t>
      </w:r>
    </w:p>
    <w:p w:rsidR="000D6807" w:rsidRDefault="009B1448">
      <w:pPr>
        <w:pStyle w:val="ListParagraph"/>
        <w:ind w:left="567" w:hanging="567"/>
        <w:jc w:val="both"/>
      </w:pPr>
      <w:r>
        <w:rPr>
          <w:sz w:val="24"/>
          <w:szCs w:val="24"/>
        </w:rPr>
        <w:lastRenderedPageBreak/>
        <w:t xml:space="preserve">Yong, B.L. 2011. Low temperature Phospine Fumigation of Chilled Lettuce Under Insulate Cover for Postharvest Control of Western Flower Thrips, </w:t>
      </w:r>
      <w:r>
        <w:rPr>
          <w:i/>
          <w:sz w:val="24"/>
          <w:szCs w:val="24"/>
        </w:rPr>
        <w:t xml:space="preserve">Frankliniella occidentalis </w:t>
      </w:r>
      <w:r>
        <w:rPr>
          <w:sz w:val="24"/>
          <w:szCs w:val="24"/>
        </w:rPr>
        <w:t xml:space="preserve">(Pergande) (Thysanoptera: Thripidae). </w:t>
      </w:r>
      <w:r>
        <w:rPr>
          <w:i/>
          <w:sz w:val="24"/>
          <w:szCs w:val="24"/>
        </w:rPr>
        <w:t>Asia-Pasific Entomology</w:t>
      </w:r>
      <w:r>
        <w:rPr>
          <w:sz w:val="24"/>
          <w:szCs w:val="24"/>
        </w:rPr>
        <w:t>, 14: 3223-325.</w:t>
      </w:r>
    </w:p>
    <w:p w:rsidR="000D6807" w:rsidRDefault="000D6807">
      <w:pPr>
        <w:spacing w:after="0" w:line="360" w:lineRule="auto"/>
        <w:jc w:val="both"/>
        <w:rPr>
          <w:rFonts w:ascii="Times New Roman" w:hAnsi="Times New Roman"/>
          <w:sz w:val="24"/>
          <w:szCs w:val="24"/>
        </w:rPr>
      </w:pPr>
    </w:p>
    <w:p w:rsidR="000D6807" w:rsidRDefault="000D6807"/>
    <w:sectPr w:rsidR="000D6807">
      <w:headerReference w:type="default" r:id="rId9"/>
      <w:footerReference w:type="default" r:id="rId10"/>
      <w:pgSz w:w="11906" w:h="16838"/>
      <w:pgMar w:top="0" w:right="1440" w:bottom="0" w:left="1440"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08" w:rsidRDefault="00571308">
      <w:pPr>
        <w:spacing w:after="0" w:line="240" w:lineRule="auto"/>
      </w:pPr>
      <w:r>
        <w:separator/>
      </w:r>
    </w:p>
  </w:endnote>
  <w:endnote w:type="continuationSeparator" w:id="0">
    <w:p w:rsidR="00571308" w:rsidRDefault="0057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67" w:rsidRDefault="009B1448">
    <w:pPr>
      <w:pStyle w:val="Footer"/>
      <w:jc w:val="center"/>
    </w:pPr>
    <w:r>
      <w:fldChar w:fldCharType="begin"/>
    </w:r>
    <w:r>
      <w:instrText xml:space="preserve"> PAGE </w:instrText>
    </w:r>
    <w:r>
      <w:fldChar w:fldCharType="separate"/>
    </w:r>
    <w:r w:rsidR="00571308">
      <w:rPr>
        <w:noProof/>
      </w:rPr>
      <w:t>1</w:t>
    </w:r>
    <w:r>
      <w:fldChar w:fldCharType="end"/>
    </w:r>
  </w:p>
  <w:p w:rsidR="00894F67" w:rsidRDefault="005713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08" w:rsidRDefault="00571308">
      <w:pPr>
        <w:spacing w:after="0" w:line="240" w:lineRule="auto"/>
      </w:pPr>
      <w:r>
        <w:rPr>
          <w:color w:val="000000"/>
        </w:rPr>
        <w:separator/>
      </w:r>
    </w:p>
  </w:footnote>
  <w:footnote w:type="continuationSeparator" w:id="0">
    <w:p w:rsidR="00571308" w:rsidRDefault="00571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F67" w:rsidRDefault="009B1448">
    <w:pPr>
      <w:jc w:val="right"/>
    </w:pPr>
    <w:r>
      <w:rPr>
        <w:rFonts w:eastAsia="Cambria"/>
        <w:sz w:val="20"/>
        <w:szCs w:val="20"/>
      </w:rPr>
      <w:t>Jurnal Bioindustri Vol. xx. No. yy, Bulan 20zz</w:t>
    </w:r>
  </w:p>
  <w:p w:rsidR="00894F67" w:rsidRDefault="009B1448">
    <w:pPr>
      <w:jc w:val="right"/>
    </w:pPr>
    <w:r>
      <w:rPr>
        <w:rFonts w:eastAsia="Cambria"/>
        <w:noProof/>
        <w:sz w:val="20"/>
        <w:szCs w:val="20"/>
        <w:lang w:eastAsia="id-ID"/>
      </w:rPr>
      <mc:AlternateContent>
        <mc:Choice Requires="wps">
          <w:drawing>
            <wp:anchor distT="0" distB="0" distL="114300" distR="114300" simplePos="0" relativeHeight="251659264" behindDoc="0" locked="0" layoutInCell="1" allowOverlap="1">
              <wp:simplePos x="0" y="0"/>
              <wp:positionH relativeFrom="column">
                <wp:posOffset>-392433</wp:posOffset>
              </wp:positionH>
              <wp:positionV relativeFrom="paragraph">
                <wp:posOffset>128272</wp:posOffset>
              </wp:positionV>
              <wp:extent cx="6162671" cy="0"/>
              <wp:effectExtent l="0" t="0" r="9529" b="57150"/>
              <wp:wrapNone/>
              <wp:docPr id="1" name="Straight Connector 1"/>
              <wp:cNvGraphicFramePr/>
              <a:graphic xmlns:a="http://schemas.openxmlformats.org/drawingml/2006/main">
                <a:graphicData uri="http://schemas.microsoft.com/office/word/2010/wordprocessingShape">
                  <wps:wsp>
                    <wps:cNvCnPr/>
                    <wps:spPr>
                      <a:xfrm>
                        <a:off x="0" y="0"/>
                        <a:ext cx="6162671" cy="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Connector 1" o:spid="_x0000_s1026" type="#_x0000_t32" style="position:absolute;margin-left:-30.9pt;margin-top:10.1pt;width:485.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Cq3wEAANIDAAAOAAAAZHJzL2Uyb0RvYy54bWysU8mOGyEQvUfKPyDucS9JPOOW23OwNblE&#10;iSUnH4CB7kZiU8G47b9PQbcdZzmNhgNQVNWrVwvrp7PR5CQhKGdbWi1KSqTlTijbt/Tnj+cPj5SE&#10;yKxg2lnZ0osM9Gnz/t169I2s3eC0kEAQxIZm9C0dYvRNUQQ+SMPCwnlpUdk5MCyiCH0hgI2IbnRR&#10;l+WyGB0ID47LEPB1NynpJuN3neTxe9cFGYluKXKLeYe8H9NebNas6YH5QfGZBnsFC8OUxaA3qB2L&#10;jLyA+gfKKA4uuC4uuDOF6zrFZc4Bs6nKv7I5DMzLnAsWJ/hbmcLbwfJvpz0QJbB3lFhmsEWHCEz1&#10;QyRbZy0W0AGpUp1GHxo039o9zFLwe0hJnzsw6cR0yDnX9nKrrTxHwvFxWS3r5QMG4Vdd8dvRQ4hf&#10;pDMkXVoaZgY3AlWuLTt9DRFDo+PVIUW17llpnRupLRlbWn/+VNbZIzitRNImuwD9cauBnFiahbxS&#10;Woj2h1mC3rEwTHZZNZtpm2BknipkkjN+iRIOgxiJUIl5tVqtHigKOGLIIi1KmO7xb0Q9UfoPi4TE&#10;tB/YFPPjY3KbqU3mmaa7BsvSHY8itWZqRrodnbjkHuV3HJxsPw95msx7Ge/3X3HzCwAA//8DAFBL&#10;AwQUAAYACAAAACEAogHRz94AAAAJAQAADwAAAGRycy9kb3ducmV2LnhtbEyPQUvEMBCF74L/IYzg&#10;bTdpkW6tTRcV9iDiwSqKt9l2bIvJpDbZbv33Rjzocd483vteuV2sETNNfnCsIVkrEMSNawfuNDw/&#10;7VY5CB+QWzSOScMXedhWpyclFq078iPNdehEDGFfoIY+hLGQ0jc9WfRrNxLH37ubLIZ4Tp1sJzzG&#10;cGtkqlQmLQ4cG3oc6ban5qM+WA3hIXmrbz7vN/RisMl3d9n8epFpfX62XF+BCLSEPzP84Ed0qCLT&#10;3h249cJoWGVJRA8aUpWCiIZLlW9A7H8FWZXy/4LqGwAA//8DAFBLAQItABQABgAIAAAAIQC2gziS&#10;/gAAAOEBAAATAAAAAAAAAAAAAAAAAAAAAABbQ29udGVudF9UeXBlc10ueG1sUEsBAi0AFAAGAAgA&#10;AAAhADj9If/WAAAAlAEAAAsAAAAAAAAAAAAAAAAALwEAAF9yZWxzLy5yZWxzUEsBAi0AFAAGAAgA&#10;AAAhAKbCAKrfAQAA0gMAAA4AAAAAAAAAAAAAAAAALgIAAGRycy9lMm9Eb2MueG1sUEsBAi0AFAAG&#10;AAgAAAAhAKIB0c/eAAAACQEAAA8AAAAAAAAAAAAAAAAAOQQAAGRycy9kb3ducmV2LnhtbFBLBQYA&#10;AAAABAAEAPMAAABEBQAAAAA=&#10;" strokeweight=".70561mm">
              <v:shadow on="t" color="black" opacity="24903f" origin="-.5,-.5" offset="0,.55547mm"/>
            </v:shape>
          </w:pict>
        </mc:Fallback>
      </mc:AlternateContent>
    </w:r>
    <w:r>
      <w:rPr>
        <w:rFonts w:eastAsia="Cambria"/>
        <w:sz w:val="20"/>
        <w:szCs w:val="20"/>
      </w:rPr>
      <w:t>E-ISSN: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357A"/>
    <w:multiLevelType w:val="multilevel"/>
    <w:tmpl w:val="ACF25D14"/>
    <w:lvl w:ilvl="0">
      <w:start w:val="1"/>
      <w:numFmt w:val="decimal"/>
      <w:lvlText w:val="%1."/>
      <w:lvlJc w:val="left"/>
      <w:pPr>
        <w:ind w:left="720" w:hanging="360"/>
      </w:pPr>
    </w:lvl>
    <w:lvl w:ilvl="1">
      <w:start w:val="1"/>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754412B5"/>
    <w:multiLevelType w:val="multilevel"/>
    <w:tmpl w:val="97063F2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D6807"/>
    <w:rsid w:val="000D6807"/>
    <w:rsid w:val="001A2814"/>
    <w:rsid w:val="00322EB3"/>
    <w:rsid w:val="00571308"/>
    <w:rsid w:val="009B14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d-ID"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spacing w:after="0" w:line="240" w:lineRule="auto"/>
      <w:ind w:left="720"/>
    </w:pPr>
    <w:rPr>
      <w:rFonts w:ascii="Times New Roman" w:eastAsia="Times New Roman" w:hAnsi="Times New Roman"/>
      <w:lang w:eastAsia="id-ID"/>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customStyle="1" w:styleId="A5">
    <w:name w:val="A5"/>
    <w:rPr>
      <w:color w:val="000000"/>
      <w:sz w:val="22"/>
      <w:szCs w:val="22"/>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id-ID"/>
    </w:rPr>
  </w:style>
  <w:style w:type="character" w:customStyle="1" w:styleId="A3">
    <w:name w:val="A3"/>
    <w:rPr>
      <w:b/>
      <w:bCs/>
      <w:color w:val="000000"/>
      <w:sz w:val="32"/>
      <w:szCs w:val="3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d-ID"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spacing w:after="0" w:line="240" w:lineRule="auto"/>
      <w:ind w:left="720"/>
    </w:pPr>
    <w:rPr>
      <w:rFonts w:ascii="Times New Roman" w:eastAsia="Times New Roman" w:hAnsi="Times New Roman"/>
      <w:lang w:eastAsia="id-ID"/>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customStyle="1" w:styleId="A5">
    <w:name w:val="A5"/>
    <w:rPr>
      <w:color w:val="000000"/>
      <w:sz w:val="22"/>
      <w:szCs w:val="22"/>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id-ID"/>
    </w:rPr>
  </w:style>
  <w:style w:type="character" w:customStyle="1" w:styleId="A3">
    <w:name w:val="A3"/>
    <w:rPr>
      <w:b/>
      <w:bCs/>
      <w:color w:val="000000"/>
      <w:sz w:val="32"/>
      <w:szCs w:val="3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kararum400@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3752</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2019-01-25T00:13:00Z</cp:lastPrinted>
  <dcterms:created xsi:type="dcterms:W3CDTF">2019-02-18T09:19:00Z</dcterms:created>
  <dcterms:modified xsi:type="dcterms:W3CDTF">2019-02-18T09:19:00Z</dcterms:modified>
</cp:coreProperties>
</file>